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widowControl/>
        <w:spacing w:line="360" w:lineRule="auto"/>
        <w:jc w:val="center"/>
        <w:textAlignment w:val="baseline"/>
        <w:rPr>
          <w:rFonts w:ascii="宋体" w:hAnsi="宋体"/>
          <w:b/>
          <w:sz w:val="44"/>
          <w:szCs w:val="44"/>
          <w:shd w:val="clear" w:color="auto" w:fill="FFFFFF"/>
        </w:rPr>
      </w:pPr>
      <w:r>
        <w:rPr>
          <w:rFonts w:hint="eastAsia" w:ascii="宋体" w:hAnsi="宋体"/>
          <w:b/>
          <w:sz w:val="44"/>
          <w:szCs w:val="44"/>
          <w:shd w:val="clear" w:color="auto" w:fill="FFFFFF"/>
          <w:lang w:eastAsia="zh-CN"/>
        </w:rPr>
        <w:t>河南质量工程职业学院</w:t>
      </w:r>
      <w:r>
        <w:rPr>
          <w:rFonts w:hint="eastAsia" w:ascii="宋体" w:hAnsi="宋体"/>
          <w:b/>
          <w:sz w:val="44"/>
          <w:szCs w:val="44"/>
          <w:shd w:val="clear" w:color="auto" w:fill="FFFFFF"/>
        </w:rPr>
        <w:t>建筑材料检测技术生产性实训基地设备采购项目</w:t>
      </w:r>
    </w:p>
    <w:p>
      <w:pPr>
        <w:pStyle w:val="19"/>
        <w:ind w:firstLine="361"/>
        <w:rPr>
          <w:rFonts w:ascii="宋体" w:hAnsi="宋体"/>
          <w:b/>
          <w:sz w:val="36"/>
          <w:szCs w:val="36"/>
          <w:shd w:val="clear" w:color="auto" w:fill="FFFFFF"/>
        </w:rPr>
      </w:pPr>
    </w:p>
    <w:p>
      <w:pPr>
        <w:pStyle w:val="19"/>
        <w:ind w:firstLine="361"/>
        <w:rPr>
          <w:rFonts w:ascii="宋体" w:hAnsi="宋体"/>
          <w:b/>
          <w:sz w:val="36"/>
          <w:szCs w:val="36"/>
          <w:shd w:val="clear" w:color="auto" w:fill="FFFFFF"/>
        </w:rPr>
      </w:pPr>
    </w:p>
    <w:p>
      <w:pPr>
        <w:pStyle w:val="19"/>
        <w:ind w:firstLine="361"/>
        <w:rPr>
          <w:rFonts w:ascii="宋体" w:hAnsi="宋体"/>
          <w:b/>
          <w:sz w:val="36"/>
          <w:szCs w:val="36"/>
          <w:shd w:val="clear" w:color="auto" w:fill="FFFFFF"/>
        </w:rPr>
      </w:pPr>
    </w:p>
    <w:p>
      <w:pPr>
        <w:widowControl/>
        <w:spacing w:line="360" w:lineRule="auto"/>
        <w:jc w:val="center"/>
        <w:textAlignment w:val="baseline"/>
        <w:rPr>
          <w:rFonts w:ascii="宋体"/>
          <w:b/>
          <w:color w:val="000000"/>
          <w:kern w:val="0"/>
          <w:sz w:val="112"/>
          <w:szCs w:val="112"/>
          <w:u w:color="000000"/>
        </w:rPr>
      </w:pPr>
      <w:r>
        <w:rPr>
          <w:rFonts w:hint="eastAsia" w:ascii="宋体" w:hAnsi="宋体"/>
          <w:b/>
          <w:color w:val="000000"/>
          <w:kern w:val="0"/>
          <w:sz w:val="112"/>
          <w:szCs w:val="112"/>
          <w:u w:color="000000"/>
        </w:rPr>
        <w:t>招标文件</w:t>
      </w:r>
    </w:p>
    <w:p>
      <w:pPr>
        <w:widowControl/>
        <w:spacing w:line="360" w:lineRule="auto"/>
        <w:jc w:val="center"/>
        <w:textAlignment w:val="baseline"/>
        <w:rPr>
          <w:rFonts w:ascii="宋体"/>
          <w:b/>
          <w:color w:val="000000"/>
          <w:kern w:val="0"/>
          <w:sz w:val="24"/>
          <w:u w:color="000000"/>
        </w:rPr>
      </w:pPr>
    </w:p>
    <w:p>
      <w:pPr>
        <w:widowControl/>
        <w:spacing w:line="425" w:lineRule="atLeast"/>
        <w:jc w:val="center"/>
        <w:textAlignment w:val="baseline"/>
        <w:rPr>
          <w:rFonts w:ascii="宋体"/>
          <w:color w:val="000000"/>
          <w:kern w:val="0"/>
          <w:sz w:val="30"/>
          <w:szCs w:val="20"/>
          <w:u w:color="000000"/>
        </w:rPr>
      </w:pPr>
    </w:p>
    <w:p>
      <w:pPr>
        <w:widowControl/>
        <w:spacing w:line="425" w:lineRule="atLeast"/>
        <w:jc w:val="center"/>
        <w:textAlignment w:val="baseline"/>
        <w:rPr>
          <w:rFonts w:ascii="宋体"/>
          <w:color w:val="000000"/>
          <w:kern w:val="0"/>
          <w:sz w:val="30"/>
          <w:szCs w:val="20"/>
          <w:u w:color="000000"/>
        </w:rPr>
      </w:pPr>
      <w:r>
        <w:rPr>
          <w:rFonts w:ascii="宋体" w:hAnsi="宋体"/>
          <w:color w:val="000000"/>
          <w:u w:val="single"/>
        </w:rPr>
        <w:drawing>
          <wp:anchor distT="0" distB="0" distL="0" distR="0" simplePos="0" relativeHeight="1024" behindDoc="1" locked="0" layoutInCell="1" allowOverlap="0">
            <wp:simplePos x="0" y="0"/>
            <wp:positionH relativeFrom="page">
              <wp:posOffset>2913380</wp:posOffset>
            </wp:positionH>
            <wp:positionV relativeFrom="page">
              <wp:posOffset>4998720</wp:posOffset>
            </wp:positionV>
            <wp:extent cx="1630680" cy="1847850"/>
            <wp:effectExtent l="0" t="0" r="7620" b="0"/>
            <wp:wrapNone/>
            <wp:docPr id="1027" name="Picture 2"/>
            <wp:cNvGraphicFramePr/>
            <a:graphic xmlns:a="http://schemas.openxmlformats.org/drawingml/2006/main">
              <a:graphicData uri="http://schemas.openxmlformats.org/drawingml/2006/picture">
                <pic:pic xmlns:pic="http://schemas.openxmlformats.org/drawingml/2006/picture">
                  <pic:nvPicPr>
                    <pic:cNvPr id="1027" name="Picture 2"/>
                    <pic:cNvPicPr/>
                  </pic:nvPicPr>
                  <pic:blipFill>
                    <a:blip r:embed="rId8" cstate="print"/>
                    <a:srcRect/>
                    <a:stretch>
                      <a:fillRect/>
                    </a:stretch>
                  </pic:blipFill>
                  <pic:spPr>
                    <a:xfrm>
                      <a:off x="0" y="0"/>
                      <a:ext cx="1630679" cy="1847849"/>
                    </a:xfrm>
                    <a:prstGeom prst="rect">
                      <a:avLst/>
                    </a:prstGeom>
                    <a:ln>
                      <a:noFill/>
                    </a:ln>
                  </pic:spPr>
                </pic:pic>
              </a:graphicData>
            </a:graphic>
          </wp:anchor>
        </w:drawing>
      </w:r>
    </w:p>
    <w:p>
      <w:pPr>
        <w:widowControl/>
        <w:snapToGrid w:val="0"/>
        <w:spacing w:line="360" w:lineRule="auto"/>
        <w:textAlignment w:val="baseline"/>
        <w:rPr>
          <w:rFonts w:ascii="宋体"/>
          <w:color w:val="000000"/>
          <w:kern w:val="0"/>
          <w:sz w:val="36"/>
          <w:szCs w:val="36"/>
          <w:u w:color="000000"/>
        </w:rPr>
      </w:pPr>
    </w:p>
    <w:p>
      <w:pPr>
        <w:widowControl/>
        <w:snapToGrid w:val="0"/>
        <w:spacing w:line="360" w:lineRule="auto"/>
        <w:textAlignment w:val="baseline"/>
        <w:rPr>
          <w:rFonts w:ascii="宋体"/>
          <w:color w:val="000000"/>
          <w:kern w:val="0"/>
          <w:sz w:val="36"/>
          <w:szCs w:val="36"/>
          <w:u w:color="000000"/>
        </w:rPr>
      </w:pPr>
    </w:p>
    <w:p>
      <w:pPr>
        <w:widowControl/>
        <w:snapToGrid w:val="0"/>
        <w:spacing w:line="360" w:lineRule="auto"/>
        <w:textAlignment w:val="baseline"/>
        <w:rPr>
          <w:rFonts w:ascii="宋体"/>
          <w:color w:val="000000"/>
          <w:kern w:val="0"/>
          <w:sz w:val="36"/>
          <w:szCs w:val="36"/>
          <w:u w:color="000000"/>
        </w:rPr>
      </w:pPr>
    </w:p>
    <w:p>
      <w:pPr>
        <w:pStyle w:val="19"/>
        <w:ind w:firstLine="360"/>
        <w:rPr>
          <w:rFonts w:ascii="宋体"/>
          <w:color w:val="000000"/>
          <w:kern w:val="0"/>
          <w:sz w:val="36"/>
          <w:szCs w:val="36"/>
          <w:u w:color="000000"/>
        </w:rPr>
      </w:pPr>
    </w:p>
    <w:p>
      <w:pPr>
        <w:pStyle w:val="19"/>
        <w:ind w:firstLine="360"/>
        <w:rPr>
          <w:rFonts w:ascii="宋体"/>
          <w:color w:val="000000"/>
          <w:kern w:val="0"/>
          <w:sz w:val="36"/>
          <w:szCs w:val="36"/>
          <w:u w:color="000000"/>
        </w:rPr>
      </w:pPr>
    </w:p>
    <w:p>
      <w:pPr>
        <w:widowControl/>
        <w:snapToGrid w:val="0"/>
        <w:spacing w:line="360" w:lineRule="auto"/>
        <w:textAlignment w:val="baseline"/>
        <w:rPr>
          <w:rFonts w:ascii="宋体"/>
          <w:color w:val="000000"/>
          <w:kern w:val="0"/>
          <w:sz w:val="36"/>
          <w:szCs w:val="36"/>
          <w:u w:color="000000"/>
        </w:rPr>
      </w:pPr>
    </w:p>
    <w:p>
      <w:pPr>
        <w:widowControl/>
        <w:snapToGrid w:val="0"/>
        <w:spacing w:line="360" w:lineRule="auto"/>
        <w:ind w:left="836" w:leftChars="398"/>
        <w:textAlignment w:val="baseline"/>
        <w:rPr>
          <w:rFonts w:hint="eastAsia" w:ascii="宋体" w:hAnsi="宋体" w:eastAsia="宋体"/>
          <w:b/>
          <w:bCs/>
          <w:color w:val="000000"/>
          <w:kern w:val="0"/>
          <w:sz w:val="30"/>
          <w:szCs w:val="30"/>
          <w:u w:color="000000"/>
          <w:lang w:eastAsia="zh-CN"/>
        </w:rPr>
      </w:pPr>
      <w:r>
        <w:rPr>
          <w:rFonts w:hint="eastAsia" w:ascii="宋体" w:hAnsi="宋体"/>
          <w:b/>
          <w:bCs/>
          <w:color w:val="000000"/>
          <w:kern w:val="0"/>
          <w:sz w:val="30"/>
          <w:szCs w:val="30"/>
          <w:u w:color="000000"/>
        </w:rPr>
        <w:t>采   购   人：</w:t>
      </w:r>
      <w:r>
        <w:rPr>
          <w:rFonts w:hint="eastAsia" w:ascii="宋体" w:hAnsi="宋体"/>
          <w:b/>
          <w:bCs/>
          <w:color w:val="000000"/>
          <w:kern w:val="0"/>
          <w:sz w:val="30"/>
          <w:szCs w:val="30"/>
          <w:u w:color="000000"/>
          <w:lang w:eastAsia="zh-CN"/>
        </w:rPr>
        <w:t>河南质量工程职业学院</w:t>
      </w:r>
    </w:p>
    <w:p>
      <w:pPr>
        <w:widowControl/>
        <w:snapToGrid w:val="0"/>
        <w:spacing w:line="360" w:lineRule="auto"/>
        <w:ind w:left="836" w:leftChars="398"/>
        <w:textAlignment w:val="baseline"/>
        <w:rPr>
          <w:rFonts w:ascii="宋体"/>
          <w:b/>
          <w:bCs/>
          <w:color w:val="000000"/>
          <w:kern w:val="0"/>
          <w:sz w:val="30"/>
          <w:szCs w:val="30"/>
          <w:u w:color="000000"/>
        </w:rPr>
      </w:pPr>
      <w:r>
        <w:rPr>
          <w:rFonts w:hint="eastAsia" w:ascii="宋体" w:hAnsi="宋体"/>
          <w:b/>
          <w:bCs/>
          <w:color w:val="000000"/>
          <w:kern w:val="0"/>
          <w:sz w:val="30"/>
          <w:szCs w:val="30"/>
          <w:u w:color="000000"/>
        </w:rPr>
        <w:t>招标代理机构：中和中基工程管理有限公司</w:t>
      </w:r>
    </w:p>
    <w:p>
      <w:pPr>
        <w:widowControl/>
        <w:snapToGrid w:val="0"/>
        <w:spacing w:line="360" w:lineRule="auto"/>
        <w:ind w:left="836" w:leftChars="398"/>
        <w:textAlignment w:val="baseline"/>
        <w:rPr>
          <w:rFonts w:ascii="宋体" w:hAnsi="宋体"/>
          <w:b/>
          <w:sz w:val="36"/>
          <w:szCs w:val="36"/>
          <w:shd w:val="clear" w:color="auto" w:fill="FFFFFF"/>
        </w:rPr>
      </w:pPr>
      <w:r>
        <w:rPr>
          <w:rFonts w:hint="eastAsia" w:ascii="宋体" w:hAnsi="宋体"/>
          <w:b/>
          <w:bCs/>
          <w:color w:val="000000"/>
          <w:kern w:val="0"/>
          <w:sz w:val="30"/>
          <w:szCs w:val="30"/>
          <w:u w:color="000000"/>
        </w:rPr>
        <w:t>日        期：二○一九年十一月</w:t>
      </w:r>
    </w:p>
    <w:p>
      <w:pPr>
        <w:jc w:val="center"/>
        <w:rPr>
          <w:rFonts w:ascii="宋体" w:hAnsi="宋体"/>
          <w:b/>
          <w:bCs/>
          <w:sz w:val="36"/>
          <w:szCs w:val="44"/>
        </w:rPr>
      </w:pPr>
      <w:bookmarkStart w:id="0" w:name="_Toc23537_WPSOffice_Type1"/>
    </w:p>
    <w:p>
      <w:pPr>
        <w:jc w:val="center"/>
        <w:rPr>
          <w:b/>
          <w:bCs/>
          <w:sz w:val="36"/>
          <w:szCs w:val="44"/>
        </w:rPr>
      </w:pPr>
      <w:r>
        <w:rPr>
          <w:rFonts w:ascii="宋体" w:hAnsi="宋体"/>
          <w:b/>
          <w:bCs/>
          <w:sz w:val="36"/>
          <w:szCs w:val="44"/>
        </w:rPr>
        <w:t>目</w:t>
      </w:r>
      <w:r>
        <w:rPr>
          <w:rFonts w:hint="eastAsia" w:ascii="宋体" w:hAnsi="宋体"/>
          <w:b/>
          <w:bCs/>
          <w:sz w:val="36"/>
          <w:szCs w:val="44"/>
        </w:rPr>
        <w:t xml:space="preserve">   </w:t>
      </w:r>
      <w:r>
        <w:rPr>
          <w:rFonts w:ascii="宋体" w:hAnsi="宋体"/>
          <w:b/>
          <w:bCs/>
          <w:sz w:val="36"/>
          <w:szCs w:val="44"/>
        </w:rPr>
        <w:t>录</w:t>
      </w:r>
    </w:p>
    <w:p>
      <w:pPr>
        <w:pStyle w:val="58"/>
        <w:tabs>
          <w:tab w:val="right" w:leader="dot" w:pos="8620"/>
        </w:tabs>
        <w:spacing w:line="360" w:lineRule="auto"/>
        <w:rPr>
          <w:sz w:val="28"/>
          <w:szCs w:val="28"/>
        </w:rPr>
      </w:pPr>
      <w:r>
        <w:fldChar w:fldCharType="begin"/>
      </w:r>
      <w:r>
        <w:instrText xml:space="preserve"> HYPERLINK \l "_Toc29682_WPSOffice_Level1" </w:instrText>
      </w:r>
      <w:r>
        <w:fldChar w:fldCharType="separate"/>
      </w:r>
      <w:r>
        <w:rPr>
          <w:rFonts w:ascii="宋体"/>
          <w:sz w:val="28"/>
          <w:szCs w:val="28"/>
        </w:rPr>
        <w:t xml:space="preserve">第一章 </w:t>
      </w:r>
      <w:r>
        <w:rPr>
          <w:rFonts w:hint="eastAsia" w:ascii="宋体" w:hAnsi="宋体" w:cs="Arial"/>
          <w:sz w:val="28"/>
          <w:szCs w:val="28"/>
        </w:rPr>
        <w:t>招标公告</w:t>
      </w:r>
      <w:r>
        <w:rPr>
          <w:sz w:val="28"/>
          <w:szCs w:val="28"/>
        </w:rPr>
        <w:tab/>
      </w:r>
      <w:bookmarkStart w:id="1" w:name="_Toc29682_WPSOffice_Level1Page"/>
      <w:r>
        <w:rPr>
          <w:sz w:val="28"/>
          <w:szCs w:val="28"/>
        </w:rPr>
        <w:t>1</w:t>
      </w:r>
      <w:bookmarkEnd w:id="1"/>
      <w:r>
        <w:rPr>
          <w:sz w:val="28"/>
          <w:szCs w:val="28"/>
        </w:rPr>
        <w:fldChar w:fldCharType="end"/>
      </w:r>
    </w:p>
    <w:p>
      <w:pPr>
        <w:pStyle w:val="58"/>
        <w:tabs>
          <w:tab w:val="right" w:leader="dot" w:pos="8620"/>
        </w:tabs>
        <w:spacing w:line="360" w:lineRule="auto"/>
        <w:rPr>
          <w:sz w:val="28"/>
          <w:szCs w:val="28"/>
        </w:rPr>
      </w:pPr>
      <w:r>
        <w:fldChar w:fldCharType="begin"/>
      </w:r>
      <w:r>
        <w:instrText xml:space="preserve"> HYPERLINK \l "_Toc25229_WPSOffice_Level1" </w:instrText>
      </w:r>
      <w:r>
        <w:fldChar w:fldCharType="separate"/>
      </w:r>
      <w:r>
        <w:rPr>
          <w:rFonts w:ascii="宋体"/>
          <w:sz w:val="28"/>
          <w:szCs w:val="28"/>
        </w:rPr>
        <w:t xml:space="preserve">第二章 </w:t>
      </w:r>
      <w:r>
        <w:rPr>
          <w:rFonts w:hint="eastAsia" w:ascii="宋体" w:hAnsi="宋体" w:cs="Arial"/>
          <w:sz w:val="28"/>
          <w:szCs w:val="28"/>
        </w:rPr>
        <w:t>供应商须知</w:t>
      </w:r>
      <w:r>
        <w:rPr>
          <w:sz w:val="28"/>
          <w:szCs w:val="28"/>
        </w:rPr>
        <w:tab/>
      </w:r>
      <w:bookmarkStart w:id="2" w:name="_Toc25229_WPSOffice_Level1Page"/>
      <w:r>
        <w:rPr>
          <w:sz w:val="28"/>
          <w:szCs w:val="28"/>
        </w:rPr>
        <w:t>5</w:t>
      </w:r>
      <w:bookmarkEnd w:id="2"/>
      <w:r>
        <w:rPr>
          <w:sz w:val="28"/>
          <w:szCs w:val="28"/>
        </w:rPr>
        <w:fldChar w:fldCharType="end"/>
      </w:r>
    </w:p>
    <w:p>
      <w:pPr>
        <w:pStyle w:val="58"/>
        <w:tabs>
          <w:tab w:val="right" w:leader="dot" w:pos="8620"/>
        </w:tabs>
        <w:spacing w:line="360" w:lineRule="auto"/>
        <w:rPr>
          <w:sz w:val="28"/>
          <w:szCs w:val="28"/>
        </w:rPr>
      </w:pPr>
      <w:r>
        <w:fldChar w:fldCharType="begin"/>
      </w:r>
      <w:r>
        <w:instrText xml:space="preserve"> HYPERLINK \l "_Toc18753_WPSOffice_Level1" </w:instrText>
      </w:r>
      <w:r>
        <w:fldChar w:fldCharType="separate"/>
      </w:r>
      <w:r>
        <w:rPr>
          <w:sz w:val="28"/>
          <w:szCs w:val="28"/>
        </w:rPr>
        <w:t xml:space="preserve">第三章 </w:t>
      </w:r>
      <w:r>
        <w:rPr>
          <w:rFonts w:hint="eastAsia" w:ascii="宋体" w:hAnsi="宋体" w:cs="Arial"/>
          <w:sz w:val="28"/>
          <w:szCs w:val="28"/>
        </w:rPr>
        <w:t>评标办法</w:t>
      </w:r>
      <w:r>
        <w:rPr>
          <w:sz w:val="28"/>
          <w:szCs w:val="28"/>
        </w:rPr>
        <w:tab/>
      </w:r>
      <w:bookmarkStart w:id="3" w:name="_Toc18753_WPSOffice_Level1Page"/>
      <w:r>
        <w:rPr>
          <w:sz w:val="28"/>
          <w:szCs w:val="28"/>
        </w:rPr>
        <w:t>18</w:t>
      </w:r>
      <w:bookmarkEnd w:id="3"/>
      <w:r>
        <w:rPr>
          <w:sz w:val="28"/>
          <w:szCs w:val="28"/>
        </w:rPr>
        <w:fldChar w:fldCharType="end"/>
      </w:r>
    </w:p>
    <w:p>
      <w:pPr>
        <w:pStyle w:val="58"/>
        <w:tabs>
          <w:tab w:val="right" w:leader="dot" w:pos="8620"/>
        </w:tabs>
        <w:spacing w:line="360" w:lineRule="auto"/>
        <w:rPr>
          <w:sz w:val="28"/>
          <w:szCs w:val="28"/>
        </w:rPr>
      </w:pPr>
      <w:r>
        <w:fldChar w:fldCharType="begin"/>
      </w:r>
      <w:r>
        <w:instrText xml:space="preserve"> HYPERLINK \l "_Toc29576_WPSOffice_Level1" </w:instrText>
      </w:r>
      <w:r>
        <w:fldChar w:fldCharType="separate"/>
      </w:r>
      <w:r>
        <w:rPr>
          <w:rFonts w:hint="eastAsia" w:ascii="宋体" w:hAnsi="宋体" w:cs="Arial"/>
          <w:sz w:val="28"/>
          <w:szCs w:val="28"/>
        </w:rPr>
        <w:t>第四章合同条款及格式</w:t>
      </w:r>
      <w:r>
        <w:rPr>
          <w:sz w:val="28"/>
          <w:szCs w:val="28"/>
        </w:rPr>
        <w:tab/>
      </w:r>
      <w:bookmarkStart w:id="4" w:name="_Toc29576_WPSOffice_Level1Page"/>
      <w:r>
        <w:rPr>
          <w:sz w:val="28"/>
          <w:szCs w:val="28"/>
        </w:rPr>
        <w:t>23</w:t>
      </w:r>
      <w:bookmarkEnd w:id="4"/>
      <w:r>
        <w:rPr>
          <w:sz w:val="28"/>
          <w:szCs w:val="28"/>
        </w:rPr>
        <w:fldChar w:fldCharType="end"/>
      </w:r>
    </w:p>
    <w:p>
      <w:pPr>
        <w:pStyle w:val="58"/>
        <w:tabs>
          <w:tab w:val="right" w:leader="dot" w:pos="8620"/>
        </w:tabs>
        <w:spacing w:line="360" w:lineRule="auto"/>
        <w:rPr>
          <w:sz w:val="28"/>
          <w:szCs w:val="28"/>
        </w:rPr>
      </w:pPr>
      <w:r>
        <w:fldChar w:fldCharType="begin"/>
      </w:r>
      <w:r>
        <w:instrText xml:space="preserve"> HYPERLINK \l "_Toc14270_WPSOffice_Level1" </w:instrText>
      </w:r>
      <w:r>
        <w:fldChar w:fldCharType="separate"/>
      </w:r>
      <w:r>
        <w:rPr>
          <w:rFonts w:hint="eastAsia" w:ascii="宋体" w:hAnsi="宋体" w:cs="Arial"/>
          <w:sz w:val="28"/>
          <w:szCs w:val="28"/>
        </w:rPr>
        <w:t>第五章 技术标准要求</w:t>
      </w:r>
      <w:r>
        <w:rPr>
          <w:sz w:val="28"/>
          <w:szCs w:val="28"/>
        </w:rPr>
        <w:tab/>
      </w:r>
      <w:bookmarkStart w:id="5" w:name="_Toc14270_WPSOffice_Level1Page"/>
      <w:r>
        <w:rPr>
          <w:sz w:val="28"/>
          <w:szCs w:val="28"/>
        </w:rPr>
        <w:t>27</w:t>
      </w:r>
      <w:bookmarkEnd w:id="5"/>
      <w:r>
        <w:rPr>
          <w:sz w:val="28"/>
          <w:szCs w:val="28"/>
        </w:rPr>
        <w:fldChar w:fldCharType="end"/>
      </w:r>
    </w:p>
    <w:p>
      <w:pPr>
        <w:pStyle w:val="58"/>
        <w:tabs>
          <w:tab w:val="right" w:leader="dot" w:pos="8620"/>
        </w:tabs>
        <w:spacing w:line="360" w:lineRule="auto"/>
      </w:pPr>
      <w:r>
        <w:fldChar w:fldCharType="begin"/>
      </w:r>
      <w:r>
        <w:instrText xml:space="preserve"> HYPERLINK \l "_Toc18283_WPSOffice_Level1" </w:instrText>
      </w:r>
      <w:r>
        <w:fldChar w:fldCharType="separate"/>
      </w:r>
      <w:r>
        <w:rPr>
          <w:rFonts w:hint="eastAsia" w:ascii="宋体" w:hAnsi="宋体" w:cs="Arial"/>
          <w:sz w:val="28"/>
          <w:szCs w:val="28"/>
        </w:rPr>
        <w:t>第六章投标文件格式</w:t>
      </w:r>
      <w:r>
        <w:rPr>
          <w:sz w:val="28"/>
          <w:szCs w:val="28"/>
        </w:rPr>
        <w:tab/>
      </w:r>
      <w:bookmarkStart w:id="6" w:name="_Toc18283_WPSOffice_Level1Page"/>
      <w:r>
        <w:rPr>
          <w:sz w:val="28"/>
          <w:szCs w:val="28"/>
        </w:rPr>
        <w:t>33</w:t>
      </w:r>
      <w:bookmarkEnd w:id="6"/>
      <w:r>
        <w:rPr>
          <w:sz w:val="28"/>
          <w:szCs w:val="28"/>
        </w:rPr>
        <w:fldChar w:fldCharType="end"/>
      </w:r>
    </w:p>
    <w:bookmarkEnd w:id="0"/>
    <w:p>
      <w:pPr>
        <w:pStyle w:val="19"/>
        <w:spacing w:line="360" w:lineRule="auto"/>
        <w:ind w:firstLine="482" w:firstLineChars="200"/>
        <w:rPr>
          <w:rFonts w:ascii="宋体" w:hAnsi="宋体" w:cs="宋体"/>
          <w:b/>
          <w:bCs/>
          <w:sz w:val="24"/>
          <w:szCs w:val="24"/>
        </w:rPr>
        <w:sectPr>
          <w:headerReference r:id="rId3" w:type="default"/>
          <w:footerReference r:id="rId4" w:type="default"/>
          <w:pgSz w:w="11906" w:h="16838"/>
          <w:pgMar w:top="1440" w:right="1486" w:bottom="1440" w:left="1800" w:header="851" w:footer="992" w:gutter="0"/>
          <w:pgNumType w:fmt="numberInDash"/>
          <w:cols w:space="425" w:num="1"/>
          <w:titlePg/>
          <w:docGrid w:type="lines" w:linePitch="312" w:charSpace="0"/>
        </w:sectPr>
      </w:pPr>
    </w:p>
    <w:p>
      <w:pPr>
        <w:pStyle w:val="3"/>
        <w:numPr>
          <w:ilvl w:val="0"/>
          <w:numId w:val="1"/>
        </w:numPr>
        <w:spacing w:before="100" w:after="100" w:line="440" w:lineRule="exact"/>
        <w:jc w:val="center"/>
        <w:rPr>
          <w:rFonts w:ascii="宋体" w:cs="Arial"/>
          <w:sz w:val="36"/>
          <w:szCs w:val="36"/>
        </w:rPr>
      </w:pPr>
      <w:bookmarkStart w:id="7" w:name="_Toc29682_WPSOffice_Level1"/>
      <w:bookmarkStart w:id="8" w:name="_Toc27391"/>
      <w:bookmarkStart w:id="9" w:name="_Toc354341637"/>
      <w:r>
        <w:rPr>
          <w:rFonts w:hint="eastAsia" w:ascii="宋体" w:hAnsi="宋体" w:cs="Arial"/>
          <w:sz w:val="36"/>
          <w:szCs w:val="36"/>
        </w:rPr>
        <w:t>招标公告</w:t>
      </w:r>
      <w:bookmarkEnd w:id="7"/>
      <w:bookmarkEnd w:id="8"/>
      <w:bookmarkEnd w:id="9"/>
    </w:p>
    <w:p>
      <w:pPr>
        <w:keepNext w:val="0"/>
        <w:keepLines w:val="0"/>
        <w:pageBreakBefore w:val="0"/>
        <w:kinsoku/>
        <w:wordWrap/>
        <w:overflowPunct/>
        <w:topLinePunct w:val="0"/>
        <w:autoSpaceDE/>
        <w:autoSpaceDN/>
        <w:bidi w:val="0"/>
        <w:adjustRightInd/>
        <w:snapToGrid/>
        <w:spacing w:line="420" w:lineRule="exact"/>
        <w:jc w:val="center"/>
        <w:textAlignment w:val="auto"/>
        <w:rPr>
          <w:rFonts w:asciiTheme="minorEastAsia" w:hAnsiTheme="minorEastAsia" w:eastAsiaTheme="minorEastAsia" w:cstheme="minorEastAsia"/>
          <w:b/>
          <w:sz w:val="24"/>
          <w:shd w:val="clear" w:color="auto" w:fill="FFFFFF"/>
        </w:rPr>
      </w:pPr>
      <w:bookmarkStart w:id="10" w:name="_Toc354341638"/>
      <w:r>
        <w:rPr>
          <w:rFonts w:hint="eastAsia" w:asciiTheme="minorEastAsia" w:hAnsiTheme="minorEastAsia" w:eastAsiaTheme="minorEastAsia" w:cstheme="minorEastAsia"/>
          <w:b/>
          <w:sz w:val="30"/>
          <w:szCs w:val="30"/>
          <w:shd w:val="clear" w:color="auto" w:fill="FFFFFF"/>
          <w:lang w:eastAsia="zh-CN"/>
        </w:rPr>
        <w:t>河南质量工程职业学院</w:t>
      </w:r>
      <w:r>
        <w:rPr>
          <w:rFonts w:hint="eastAsia" w:asciiTheme="minorEastAsia" w:hAnsiTheme="minorEastAsia" w:eastAsiaTheme="minorEastAsia" w:cstheme="minorEastAsia"/>
          <w:b/>
          <w:sz w:val="30"/>
          <w:szCs w:val="30"/>
          <w:shd w:val="clear" w:color="auto" w:fill="FFFFFF"/>
        </w:rPr>
        <w:t>建筑材料检测技术生产性实训基地设备采购项目公开招标公告</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中和中基工程管理有限公司受</w:t>
      </w:r>
      <w:r>
        <w:rPr>
          <w:rFonts w:hint="eastAsia" w:asciiTheme="minorEastAsia" w:hAnsiTheme="minorEastAsia" w:eastAsiaTheme="minorEastAsia" w:cstheme="minorEastAsia"/>
          <w:lang w:eastAsia="zh-CN"/>
        </w:rPr>
        <w:t>河南质量工程职业学院</w:t>
      </w:r>
      <w:r>
        <w:rPr>
          <w:rFonts w:hint="eastAsia" w:asciiTheme="minorEastAsia" w:hAnsiTheme="minorEastAsia" w:eastAsiaTheme="minorEastAsia" w:cstheme="minorEastAsia"/>
        </w:rPr>
        <w:t>的委托，就</w:t>
      </w:r>
      <w:r>
        <w:rPr>
          <w:rFonts w:hint="eastAsia" w:asciiTheme="minorEastAsia" w:hAnsiTheme="minorEastAsia" w:eastAsiaTheme="minorEastAsia" w:cstheme="minorEastAsia"/>
          <w:lang w:eastAsia="zh-CN"/>
        </w:rPr>
        <w:t>河南质量工程职业学院</w:t>
      </w:r>
      <w:r>
        <w:rPr>
          <w:rFonts w:hint="eastAsia" w:asciiTheme="minorEastAsia" w:hAnsiTheme="minorEastAsia" w:eastAsiaTheme="minorEastAsia" w:cstheme="minorEastAsia"/>
        </w:rPr>
        <w:t>建筑材料检测技术生产性实训基地设备采购项目进行公开招标，欢迎符合相关条件的供应商参加投标，现将有关事宜公告如下：</w:t>
      </w:r>
    </w:p>
    <w:p>
      <w:pPr>
        <w:pStyle w:val="1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b/>
          <w:shd w:val="clear" w:color="auto" w:fill="FFFFFF"/>
        </w:rPr>
        <w:t>一、招标项目名称及编号：</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1、项目名称：</w:t>
      </w:r>
      <w:r>
        <w:rPr>
          <w:rFonts w:hint="eastAsia" w:asciiTheme="minorEastAsia" w:hAnsiTheme="minorEastAsia" w:eastAsiaTheme="minorEastAsia" w:cstheme="minorEastAsia"/>
          <w:lang w:eastAsia="zh-CN"/>
        </w:rPr>
        <w:t>河南质量工程职业学院</w:t>
      </w:r>
      <w:r>
        <w:rPr>
          <w:rFonts w:hint="eastAsia" w:asciiTheme="minorEastAsia" w:hAnsiTheme="minorEastAsia" w:eastAsiaTheme="minorEastAsia" w:cstheme="minorEastAsia"/>
        </w:rPr>
        <w:t>建筑材料检测技术生产性实训基地设备采购项目</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2、采购编号：2019-10-263</w:t>
      </w:r>
    </w:p>
    <w:p>
      <w:pPr>
        <w:pStyle w:val="1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二、</w:t>
      </w:r>
      <w:r>
        <w:rPr>
          <w:rFonts w:hint="eastAsia" w:asciiTheme="minorEastAsia" w:hAnsiTheme="minorEastAsia" w:eastAsiaTheme="minorEastAsia" w:cstheme="minorEastAsia"/>
          <w:b/>
          <w:shd w:val="clear" w:color="auto" w:fill="FFFFFF"/>
        </w:rPr>
        <w:t>招标项目简要说明：</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1、资金来源：财政资金，已落实，预算金额150万元。</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2、采购内容：相关参数详见招标文件。</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3、质量要求：合格</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color w:val="auto"/>
        </w:rPr>
      </w:pPr>
      <w:r>
        <w:rPr>
          <w:rFonts w:hint="eastAsia" w:asciiTheme="minorEastAsia" w:hAnsiTheme="minorEastAsia" w:eastAsiaTheme="minorEastAsia" w:cstheme="minorEastAsia"/>
        </w:rPr>
        <w:t>4、供货期：</w:t>
      </w:r>
      <w:r>
        <w:rPr>
          <w:rFonts w:hint="eastAsia" w:asciiTheme="minorEastAsia" w:hAnsiTheme="minorEastAsia" w:eastAsiaTheme="minorEastAsia" w:cstheme="minorEastAsia"/>
          <w:color w:val="auto"/>
        </w:rPr>
        <w:t>合同签订后20日历天。</w:t>
      </w:r>
    </w:p>
    <w:p>
      <w:pPr>
        <w:pStyle w:val="1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b/>
          <w:shd w:val="clear" w:color="auto" w:fill="FFFFFF"/>
        </w:rPr>
        <w:t>三、供应商资格要求：</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1、供应商应符合《中华人民共和国政府采购法》第二十二条的规定，提供下列材料：</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（1）具有独立承担民事责任的能力（供应商具有独立法人资格，具备有效经营范围的营业执照、税务登记证、组织机构代码证（或三证合一的营业执照)）；</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（2）具有良好的商业信誉和健全的财务会计制度（提2016.2017.2018三年财务审计报告，新成立公司提供成立至2018年的财务报告）；</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kern w:val="0"/>
          <w:sz w:val="24"/>
          <w:highlight w:val="red"/>
        </w:rPr>
      </w:pPr>
      <w:r>
        <w:rPr>
          <w:rFonts w:hint="eastAsia" w:asciiTheme="minorEastAsia" w:hAnsiTheme="minorEastAsia" w:eastAsiaTheme="minorEastAsia" w:cstheme="minorEastAsia"/>
          <w:kern w:val="0"/>
          <w:sz w:val="24"/>
        </w:rPr>
        <w:t>（3）有依法缴纳税收和社会保障资金的良好记录（</w:t>
      </w:r>
      <w:r>
        <w:rPr>
          <w:rFonts w:hint="eastAsia" w:asciiTheme="minorEastAsia" w:hAnsiTheme="minorEastAsia" w:eastAsiaTheme="minorEastAsia" w:cstheme="minorEastAsia"/>
          <w:kern w:val="0"/>
          <w:sz w:val="24"/>
          <w:highlight w:val="none"/>
        </w:rPr>
        <w:t>提供相关证明材料及不少于10人的近半年的社保证明，格式自拟）；</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rPr>
        <w:t>（4）具有履行合同所必需的设备和专业技术能力（</w:t>
      </w:r>
      <w:r>
        <w:rPr>
          <w:rFonts w:hint="eastAsia" w:asciiTheme="minorEastAsia" w:hAnsiTheme="minorEastAsia" w:eastAsiaTheme="minorEastAsia" w:cstheme="minorEastAsia"/>
          <w:kern w:val="0"/>
          <w:sz w:val="24"/>
          <w:highlight w:val="none"/>
        </w:rPr>
        <w:t>提供包括且不限于万能试验机、水泥抗折试验机等计量器具产品近三年省级质量技术部门颁发的中华人民共和国计量器具型式批准证书）；</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（5）参加政府采购活动前三年内，在经营活动中没有重大违法记录的书面声明（提供承诺书，格式自拟）；</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2、供应商须提供“信用中国”网站“失信被执行人”和“重大税收违法案件当事人名单”，中国政府采购网站的“政府采购严重违法失信行为记录名单”，网页查询截图，若有不良记录报名无效；</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3、本次招标不接受联合体投标。</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kern w:val="0"/>
          <w:sz w:val="24"/>
        </w:rPr>
        <w:t>4、资格审查为资格后审。</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b/>
        </w:rPr>
        <w:t>四、报名及出售招标文件信息：</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right="-510"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1、报名时间：2019年11月</w:t>
      </w: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日00时00分至2019年</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25</w:t>
      </w:r>
      <w:r>
        <w:rPr>
          <w:rFonts w:hint="eastAsia" w:asciiTheme="minorEastAsia" w:hAnsiTheme="minorEastAsia" w:eastAsiaTheme="minorEastAsia" w:cstheme="minorEastAsia"/>
        </w:rPr>
        <w:t>日23时59分;</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right="-312"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2、报名方法：本项目只接受网上报名，不接受其它形式报名。潜在供应商报名需凭CA数字证书通过平顶山市公共资源交易中心网（http://www.pdsggzy.com/)“供应商登录”入口进入交易系统进行报名。具体操作请查看以下链接：</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left="238" w:firstLine="238"/>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链接地址：</w:t>
      </w:r>
      <w:r>
        <w:fldChar w:fldCharType="begin"/>
      </w:r>
      <w:r>
        <w:instrText xml:space="preserve"> HYPERLINK "http://www.pdsggzy.com/fwzn/11020.jhtml" </w:instrText>
      </w:r>
      <w:r>
        <w:fldChar w:fldCharType="separate"/>
      </w:r>
      <w:r>
        <w:rPr>
          <w:rStyle w:val="26"/>
          <w:rFonts w:hint="eastAsia" w:asciiTheme="minorEastAsia" w:hAnsiTheme="minorEastAsia" w:eastAsiaTheme="minorEastAsia" w:cstheme="minorEastAsia"/>
          <w:color w:val="auto"/>
          <w:u w:val="none"/>
        </w:rPr>
        <w:t>http://www.pdsggzy.com/fwzn/11020.jhtml</w:t>
      </w:r>
      <w:r>
        <w:rPr>
          <w:rStyle w:val="26"/>
          <w:rFonts w:hint="eastAsia" w:asciiTheme="minorEastAsia" w:hAnsiTheme="minorEastAsia" w:eastAsiaTheme="minorEastAsia" w:cstheme="minorEastAsia"/>
          <w:color w:val="auto"/>
          <w:u w:val="none"/>
        </w:rPr>
        <w:fldChar w:fldCharType="end"/>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left="238" w:firstLine="238"/>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办理CA证书：</w:t>
      </w:r>
      <w:r>
        <w:fldChar w:fldCharType="begin"/>
      </w:r>
      <w:r>
        <w:instrText xml:space="preserve"> HYPERLINK "http://www.pdsggzy.com/fwzn/11020.jhtml" </w:instrText>
      </w:r>
      <w:r>
        <w:fldChar w:fldCharType="separate"/>
      </w:r>
      <w:r>
        <w:rPr>
          <w:rStyle w:val="26"/>
          <w:rFonts w:hint="eastAsia" w:asciiTheme="minorEastAsia" w:hAnsiTheme="minorEastAsia" w:eastAsiaTheme="minorEastAsia" w:cstheme="minorEastAsia"/>
          <w:color w:val="auto"/>
          <w:u w:val="none"/>
        </w:rPr>
        <w:t>http://www.pdsggzy.com/tzgg10814.jhtml</w:t>
      </w:r>
      <w:r>
        <w:rPr>
          <w:rStyle w:val="26"/>
          <w:rFonts w:asciiTheme="minorEastAsia" w:hAnsiTheme="minorEastAsia" w:eastAsiaTheme="minorEastAsia" w:cstheme="minorEastAsia"/>
          <w:color w:val="auto"/>
          <w:u w:val="none"/>
        </w:rPr>
        <w:fldChar w:fldCharType="end"/>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left="238" w:firstLine="238"/>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3、招标文件获取：</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right="-930" w:firstLine="511" w:firstLineChars="213"/>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招标文件出售时间：2019年11月</w:t>
      </w: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日00时00分至2019年11月</w:t>
      </w:r>
      <w:r>
        <w:rPr>
          <w:rFonts w:hint="eastAsia" w:asciiTheme="minorEastAsia" w:hAnsiTheme="minorEastAsia" w:eastAsiaTheme="minorEastAsia" w:cstheme="minorEastAsia"/>
          <w:lang w:val="en-US" w:eastAsia="zh-CN"/>
        </w:rPr>
        <w:t>25</w:t>
      </w:r>
      <w:r>
        <w:rPr>
          <w:rFonts w:hint="eastAsia" w:asciiTheme="minorEastAsia" w:hAnsiTheme="minorEastAsia" w:eastAsiaTheme="minorEastAsia" w:cstheme="minorEastAsia"/>
        </w:rPr>
        <w:t>日23时59分;</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right="-930" w:firstLine="511" w:firstLineChars="213"/>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招标文件下载时间：2019年11月</w:t>
      </w: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日00时00分至2019年</w:t>
      </w:r>
      <w:r>
        <w:rPr>
          <w:rFonts w:hint="eastAsia" w:asciiTheme="minorEastAsia" w:hAnsiTheme="minorEastAsia" w:eastAsiaTheme="minorEastAsia" w:cstheme="minorEastAsia"/>
          <w:lang w:val="en-US" w:eastAsia="zh-CN"/>
        </w:rPr>
        <w:t>12</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日23时59分;</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left="238" w:firstLine="238"/>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招标文件售价：</w:t>
      </w:r>
      <w:r>
        <w:rPr>
          <w:rFonts w:hint="eastAsia" w:asciiTheme="minorEastAsia" w:hAnsiTheme="minorEastAsia" w:eastAsiaTheme="minorEastAsia" w:cstheme="minorEastAsia"/>
          <w:lang w:eastAsia="zh-CN"/>
        </w:rPr>
        <w:t>不收取</w:t>
      </w:r>
      <w:r>
        <w:rPr>
          <w:rFonts w:hint="eastAsia" w:asciiTheme="minorEastAsia" w:hAnsiTheme="minorEastAsia" w:eastAsiaTheme="minorEastAsia" w:cstheme="minorEastAsia"/>
        </w:rPr>
        <w:t>；</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left="17" w:firstLine="46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5、潜在供应商网上报名成功后，须在平顶山市公共资源电子化交易系统中下载招标文件，纸质招标文件不再出售。具体操作请查看以下链接：</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238"/>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链接地址：http://www.pdsggzy.com/fwzn/11597.jhtml</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left="17" w:firstLine="46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3、供应商应仔细阅读操作手册，在本公告中要求的截止时间前完成网上报名、投标保证金的缴纳和绑定等工作。并充分考虑人为操作和银行异地跨行转账到账的时间等因素，因供应商操作不当等问题造成的无法报名、无法下载招标文件、无法投标等一切后果，由供应商自行承担。</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b/>
        </w:rPr>
        <w:t>五、投标文件的递交：</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1、递交投标文件截止时间（投标截止时间）：2019年</w:t>
      </w:r>
      <w:r>
        <w:rPr>
          <w:rFonts w:hint="eastAsia" w:asciiTheme="minorEastAsia" w:hAnsiTheme="minorEastAsia" w:eastAsiaTheme="minorEastAsia" w:cstheme="minorEastAsia"/>
          <w:lang w:val="en-US" w:eastAsia="zh-CN"/>
        </w:rPr>
        <w:t>12</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12</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时</w:t>
      </w:r>
      <w:r>
        <w:rPr>
          <w:rFonts w:hint="eastAsia" w:asciiTheme="minorEastAsia" w:hAnsiTheme="minorEastAsia" w:eastAsiaTheme="minorEastAsia" w:cstheme="minorEastAsia"/>
          <w:lang w:val="en-US" w:eastAsia="zh-CN"/>
        </w:rPr>
        <w:t>00</w:t>
      </w:r>
      <w:r>
        <w:rPr>
          <w:rFonts w:hint="eastAsia" w:asciiTheme="minorEastAsia" w:hAnsiTheme="minorEastAsia" w:eastAsiaTheme="minorEastAsia" w:cstheme="minorEastAsia"/>
        </w:rPr>
        <w:t>分（北京时间）。</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2、递交投标文件地点：平顶山市公共资源交易中心（平顶山市行政综合楼七楼）。</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3、逾期送达指定地点的投标文件、采购人不予受理。</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4、未通过平顶山市公共资源交易网下载招标文件的供应商，其投标文件将拒收。</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b/>
        </w:rPr>
        <w:t xml:space="preserve">六、公告发布媒体： </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本次招标公告同时在《河南省政府采购网》、《平顶山市政府采购网》、《河南省公共资源交易公共服务平台》、《全国公共资源交易平台（河南省·平顶山市）》上发布。</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b/>
        </w:rPr>
      </w:pPr>
    </w:p>
    <w:p>
      <w:pPr>
        <w:pStyle w:val="17"/>
        <w:keepNext w:val="0"/>
        <w:keepLines w:val="0"/>
        <w:pageBreakBefore w:val="0"/>
        <w:kinsoku/>
        <w:wordWrap/>
        <w:overflowPunct/>
        <w:topLinePunct w:val="0"/>
        <w:autoSpaceDE/>
        <w:autoSpaceDN/>
        <w:bidi w:val="0"/>
        <w:adjustRightInd/>
        <w:snapToGrid/>
        <w:spacing w:beforeAutospacing="0" w:afterAutospacing="0" w:line="42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b/>
        </w:rPr>
        <w:t>七、本次招标联系事宜：</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招标人：河南质量工程职业学院</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联系人：马老师 </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联系电话：0375-7668752</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地址：河南平顶山市姚电大道中段</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代理机构：中和中基工程管理有限公司</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联系人：张女士</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联系电话：17637586360</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地  址：平顶山市中兴路南段联通大楼11楼</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监督单位：平顶山市财政局政府采购管理办公室</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联系人：向先生  联系电话：0375-2627596</w:t>
      </w:r>
    </w:p>
    <w:p>
      <w:pPr>
        <w:pStyle w:val="17"/>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统一信用代码：11410400005452110L</w:t>
      </w:r>
    </w:p>
    <w:p>
      <w:pPr>
        <w:widowControl/>
        <w:shd w:val="clear" w:color="auto" w:fill="FFFFFF"/>
        <w:spacing w:line="440" w:lineRule="exact"/>
        <w:ind w:firstLine="636"/>
        <w:jc w:val="left"/>
        <w:rPr>
          <w:rFonts w:asciiTheme="minorEastAsia" w:hAnsiTheme="minorEastAsia" w:eastAsiaTheme="minorEastAsia" w:cstheme="minorEastAsia"/>
          <w:b/>
          <w:bCs/>
          <w:color w:val="000000"/>
          <w:kern w:val="0"/>
          <w:sz w:val="24"/>
        </w:rPr>
      </w:pPr>
    </w:p>
    <w:p>
      <w:pPr>
        <w:widowControl/>
        <w:shd w:val="clear" w:color="auto" w:fill="FFFFFF"/>
        <w:spacing w:line="440" w:lineRule="exact"/>
        <w:ind w:firstLine="636"/>
        <w:jc w:val="left"/>
        <w:rPr>
          <w:rFonts w:asciiTheme="minorEastAsia" w:hAnsiTheme="minorEastAsia" w:eastAsiaTheme="minorEastAsia" w:cstheme="minorEastAsia"/>
          <w:b/>
          <w:bCs/>
          <w:color w:val="000000"/>
          <w:kern w:val="0"/>
          <w:sz w:val="24"/>
        </w:rPr>
      </w:pPr>
    </w:p>
    <w:p>
      <w:pPr>
        <w:widowControl/>
        <w:shd w:val="clear" w:color="auto" w:fill="FFFFFF"/>
        <w:spacing w:line="440" w:lineRule="exact"/>
        <w:ind w:firstLine="636"/>
        <w:jc w:val="left"/>
        <w:rPr>
          <w:rFonts w:asciiTheme="minorEastAsia" w:hAnsiTheme="minorEastAsia" w:eastAsiaTheme="minorEastAsia" w:cstheme="minorEastAsia"/>
          <w:b/>
          <w:bCs/>
          <w:color w:val="000000"/>
          <w:kern w:val="0"/>
          <w:sz w:val="24"/>
        </w:rPr>
      </w:pPr>
    </w:p>
    <w:p>
      <w:pPr>
        <w:widowControl/>
        <w:shd w:val="clear" w:color="auto" w:fill="FFFFFF"/>
        <w:spacing w:line="440" w:lineRule="exact"/>
        <w:ind w:firstLine="636"/>
        <w:jc w:val="left"/>
        <w:rPr>
          <w:rFonts w:asciiTheme="minorEastAsia" w:hAnsiTheme="minorEastAsia" w:eastAsiaTheme="minorEastAsia" w:cstheme="minorEastAsia"/>
          <w:b/>
          <w:bCs/>
          <w:color w:val="000000"/>
          <w:kern w:val="0"/>
          <w:sz w:val="24"/>
        </w:rPr>
      </w:pPr>
    </w:p>
    <w:p>
      <w:pPr>
        <w:widowControl/>
        <w:shd w:val="clear" w:color="auto" w:fill="FFFFFF"/>
        <w:spacing w:line="440" w:lineRule="exact"/>
        <w:ind w:firstLine="636"/>
        <w:jc w:val="left"/>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pStyle w:val="2"/>
        <w:rPr>
          <w:rFonts w:asciiTheme="minorEastAsia" w:hAnsiTheme="minorEastAsia" w:eastAsiaTheme="minorEastAsia" w:cstheme="minorEastAsia"/>
          <w:b/>
          <w:bCs/>
          <w:color w:val="000000"/>
          <w:kern w:val="0"/>
          <w:sz w:val="24"/>
        </w:rPr>
      </w:pPr>
    </w:p>
    <w:p>
      <w:pPr>
        <w:widowControl/>
        <w:shd w:val="clear" w:color="auto" w:fill="FFFFFF"/>
        <w:spacing w:line="440" w:lineRule="exact"/>
        <w:ind w:firstLine="636"/>
        <w:jc w:val="center"/>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温馨提示：</w:t>
      </w:r>
    </w:p>
    <w:p>
      <w:pPr>
        <w:widowControl/>
        <w:shd w:val="clear" w:color="auto" w:fill="FFFFFF"/>
        <w:spacing w:line="440" w:lineRule="exact"/>
        <w:ind w:firstLine="643"/>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本项目为全流程电子化交易项目，请认真阅读采购文件，并注意以下事项。</w:t>
      </w:r>
    </w:p>
    <w:p>
      <w:pPr>
        <w:widowControl/>
        <w:shd w:val="clear" w:color="auto" w:fill="FFFFFF"/>
        <w:spacing w:line="440" w:lineRule="exact"/>
        <w:ind w:firstLine="643"/>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 xml:space="preserve">1.供应商应按采购文件规定编制、提交电子投标文件,同时，供应商应提供与已上传的电子投标文件一致的pdf版电子投标文档（U盘单独密封）。 </w:t>
      </w:r>
    </w:p>
    <w:p>
      <w:pPr>
        <w:widowControl/>
        <w:shd w:val="clear" w:color="auto" w:fill="FFFFFF"/>
        <w:spacing w:line="440" w:lineRule="exact"/>
        <w:ind w:firstLine="643"/>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2.本项目供应商不用再提供纸质投标文件。</w:t>
      </w:r>
    </w:p>
    <w:p>
      <w:pPr>
        <w:widowControl/>
        <w:shd w:val="clear" w:color="auto" w:fill="FFFFFF"/>
        <w:spacing w:line="440" w:lineRule="exact"/>
        <w:ind w:firstLine="643"/>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3.电子文件下载、制作、提交期间和开标（电子投标文件的解密）环节，供应商须使用CA数字证书（证书须在有效期内）。</w:t>
      </w:r>
    </w:p>
    <w:p>
      <w:pPr>
        <w:widowControl/>
        <w:shd w:val="clear" w:color="auto" w:fill="FFFFFF"/>
        <w:spacing w:line="440" w:lineRule="exact"/>
        <w:ind w:firstLine="643"/>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4.电子投标文件的制作</w:t>
      </w:r>
    </w:p>
    <w:p>
      <w:pPr>
        <w:widowControl/>
        <w:shd w:val="clear" w:color="auto" w:fill="FFFFFF"/>
        <w:spacing w:line="440" w:lineRule="exact"/>
        <w:ind w:firstLine="640"/>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4.1 供应商登录《全国公共资源交易平台(河南省▪平顶山市)》公共资源交易系统（http://221.176.192.166:8080/ggzy/）下载“平顶山投标文件制作系统”，按采购文件要求制作电子投标文件。</w:t>
      </w:r>
    </w:p>
    <w:p>
      <w:pPr>
        <w:widowControl/>
        <w:shd w:val="clear" w:color="auto" w:fill="FFFFFF"/>
        <w:spacing w:line="440" w:lineRule="exact"/>
        <w:ind w:firstLine="640"/>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电子投标文件的制作，参考《全国公共资源交易平台(河南省▪平顶山市)》公共资源交易系统——组件下载——交易系统操作手册（供应商、供应商）。</w:t>
      </w:r>
    </w:p>
    <w:p>
      <w:pPr>
        <w:widowControl/>
        <w:shd w:val="clear" w:color="auto" w:fill="FFFFFF"/>
        <w:spacing w:line="440" w:lineRule="exact"/>
        <w:ind w:firstLine="640"/>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4.2 供应商须将采购文件要求的资质、业绩、荣誉及相关人员证明材料等资料原件扫描件（或图片）制作到所提交的电子投标文件中。</w:t>
      </w:r>
    </w:p>
    <w:p>
      <w:pPr>
        <w:widowControl/>
        <w:shd w:val="clear" w:color="auto" w:fill="FFFFFF"/>
        <w:spacing w:line="440" w:lineRule="exact"/>
        <w:ind w:firstLine="640"/>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4.3供应商对同一项目多个标段进行投标的，应分别下载所投标段的采购文件，按标段制作电子投标文件，并按采购文件要求在相应位置加盖供应商电子印章和法人电子印章。</w:t>
      </w:r>
    </w:p>
    <w:p>
      <w:pPr>
        <w:widowControl/>
        <w:shd w:val="clear" w:color="auto" w:fill="FFFFFF"/>
        <w:spacing w:line="440" w:lineRule="exact"/>
        <w:ind w:left="105" w:firstLine="480"/>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一个标段对应生成一个文件夹（xxxx项目xx标段）, 其中包含2个文件和1个文件夹。后缀名为“.file”的文件用于电子投标使用，名称为“备份”的文件夹使用电子介质存储，供开标现场备用。</w:t>
      </w:r>
    </w:p>
    <w:p>
      <w:pPr>
        <w:widowControl/>
        <w:shd w:val="clear" w:color="auto" w:fill="FFFFFF"/>
        <w:spacing w:line="440" w:lineRule="exact"/>
        <w:ind w:firstLine="643"/>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5.加密电子投标文件的提交</w:t>
      </w:r>
    </w:p>
    <w:p>
      <w:pPr>
        <w:widowControl/>
        <w:shd w:val="clear" w:color="auto" w:fill="FFFFFF"/>
        <w:spacing w:line="440" w:lineRule="exact"/>
        <w:ind w:firstLine="634"/>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5.1加密电子投标文件应在采购文件规定的投标截止时间（开标时间）之前成功提交至《全国公共资源交易平台(河南省▪平顶山市)》公共资源交易系统（http://221.176.192.166:8080/ggzy/）。</w:t>
      </w:r>
    </w:p>
    <w:p>
      <w:pPr>
        <w:widowControl/>
        <w:shd w:val="clear" w:color="auto" w:fill="FFFFFF"/>
        <w:spacing w:line="440" w:lineRule="exact"/>
        <w:ind w:firstLine="640"/>
        <w:jc w:val="left"/>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供应商应充分考虑并预留技术处理和上传数据所需时间。</w:t>
      </w:r>
    </w:p>
    <w:p>
      <w:pPr>
        <w:pStyle w:val="17"/>
        <w:spacing w:beforeAutospacing="0" w:afterAutospacing="0" w:line="440" w:lineRule="exact"/>
        <w:ind w:firstLine="482" w:firstLineChars="200"/>
        <w:rPr>
          <w:rFonts w:asciiTheme="minorEastAsia" w:hAnsiTheme="minorEastAsia" w:eastAsiaTheme="minorEastAsia" w:cstheme="minorEastAsia"/>
        </w:rPr>
      </w:pPr>
      <w:r>
        <w:rPr>
          <w:rFonts w:hint="eastAsia" w:asciiTheme="minorEastAsia" w:hAnsiTheme="minorEastAsia" w:eastAsiaTheme="minorEastAsia" w:cstheme="minorEastAsia"/>
          <w:b/>
          <w:bCs/>
          <w:color w:val="000000"/>
          <w:kern w:val="0"/>
          <w:sz w:val="24"/>
        </w:rPr>
        <w:t>5.2 供应商对同一项目多个标段进行投标的，加密电子投标文件应按标段分别提交。</w:t>
      </w:r>
    </w:p>
    <w:p>
      <w:pPr>
        <w:widowControl/>
        <w:shd w:val="clear" w:color="auto" w:fill="FFFFFF"/>
        <w:spacing w:line="440" w:lineRule="exact"/>
        <w:ind w:firstLine="636"/>
        <w:jc w:val="left"/>
        <w:rPr>
          <w:rFonts w:asciiTheme="minorEastAsia" w:hAnsiTheme="minorEastAsia" w:eastAsiaTheme="minorEastAsia" w:cstheme="minorEastAsia"/>
          <w:b/>
          <w:bCs/>
          <w:color w:val="000000"/>
          <w:kern w:val="0"/>
          <w:sz w:val="24"/>
        </w:rPr>
      </w:pPr>
    </w:p>
    <w:p>
      <w:pPr>
        <w:widowControl/>
        <w:shd w:val="clear" w:color="auto" w:fill="FFFFFF"/>
        <w:spacing w:line="440" w:lineRule="exact"/>
        <w:ind w:firstLine="636"/>
        <w:jc w:val="left"/>
        <w:rPr>
          <w:rFonts w:asciiTheme="minorEastAsia" w:hAnsiTheme="minorEastAsia" w:eastAsiaTheme="minorEastAsia" w:cstheme="minorEastAsia"/>
          <w:b/>
          <w:bCs/>
          <w:color w:val="000000"/>
          <w:kern w:val="0"/>
          <w:sz w:val="24"/>
        </w:rPr>
      </w:pPr>
    </w:p>
    <w:p>
      <w:pPr>
        <w:widowControl/>
        <w:shd w:val="clear" w:color="auto" w:fill="FFFFFF"/>
        <w:spacing w:line="440" w:lineRule="exact"/>
        <w:ind w:firstLine="636"/>
        <w:jc w:val="left"/>
        <w:rPr>
          <w:rFonts w:asciiTheme="minorEastAsia" w:hAnsiTheme="minorEastAsia" w:eastAsiaTheme="minorEastAsia" w:cstheme="minorEastAsia"/>
          <w:b/>
          <w:bCs/>
          <w:color w:val="000000"/>
          <w:kern w:val="0"/>
          <w:sz w:val="24"/>
        </w:rPr>
      </w:pPr>
    </w:p>
    <w:p>
      <w:pPr>
        <w:rPr>
          <w:rFonts w:ascii="仿宋" w:hAnsi="仿宋" w:eastAsia="仿宋" w:cs="仿宋"/>
          <w:sz w:val="24"/>
        </w:rPr>
      </w:pPr>
      <w:r>
        <w:rPr>
          <w:rFonts w:hint="eastAsia" w:ascii="仿宋" w:hAnsi="仿宋" w:eastAsia="仿宋" w:cs="仿宋"/>
          <w:sz w:val="24"/>
        </w:rPr>
        <w:t xml:space="preserve">                                              </w:t>
      </w:r>
    </w:p>
    <w:p>
      <w:pPr>
        <w:pStyle w:val="19"/>
        <w:ind w:firstLine="240"/>
        <w:rPr>
          <w:rFonts w:hAnsi="宋体" w:cs="宋体"/>
          <w:color w:val="333333"/>
          <w:sz w:val="24"/>
          <w:szCs w:val="24"/>
        </w:rPr>
      </w:pPr>
    </w:p>
    <w:p>
      <w:pPr>
        <w:pStyle w:val="3"/>
        <w:numPr>
          <w:ilvl w:val="0"/>
          <w:numId w:val="1"/>
        </w:numPr>
        <w:spacing w:before="100" w:after="100" w:line="440" w:lineRule="exact"/>
        <w:jc w:val="center"/>
        <w:rPr>
          <w:rFonts w:ascii="宋体" w:hAnsi="宋体" w:cs="Arial"/>
          <w:sz w:val="36"/>
          <w:szCs w:val="36"/>
        </w:rPr>
      </w:pPr>
      <w:bookmarkStart w:id="11" w:name="_Toc22754"/>
      <w:bookmarkStart w:id="12" w:name="_Toc25229_WPSOffice_Level1"/>
      <w:r>
        <w:rPr>
          <w:rFonts w:hint="eastAsia" w:ascii="宋体" w:hAnsi="宋体" w:cs="Arial"/>
          <w:sz w:val="36"/>
          <w:szCs w:val="36"/>
        </w:rPr>
        <w:t>供应商须知</w:t>
      </w:r>
      <w:bookmarkEnd w:id="10"/>
      <w:bookmarkEnd w:id="11"/>
      <w:bookmarkEnd w:id="12"/>
    </w:p>
    <w:p>
      <w:pPr>
        <w:jc w:val="center"/>
      </w:pPr>
      <w:r>
        <w:rPr>
          <w:rFonts w:hint="eastAsia"/>
          <w:b/>
          <w:sz w:val="32"/>
          <w:szCs w:val="32"/>
        </w:rPr>
        <w:t>一．供应商须知前附表</w:t>
      </w:r>
    </w:p>
    <w:tbl>
      <w:tblPr>
        <w:tblStyle w:val="20"/>
        <w:tblW w:w="92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926"/>
        <w:gridCol w:w="41"/>
        <w:gridCol w:w="64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35" w:type="dxa"/>
            <w:tcBorders>
              <w:top w:val="single" w:color="auto" w:sz="12" w:space="0"/>
            </w:tcBorders>
            <w:vAlign w:val="center"/>
          </w:tcPr>
          <w:p>
            <w:pPr>
              <w:spacing w:line="420" w:lineRule="exact"/>
              <w:jc w:val="center"/>
              <w:rPr>
                <w:rFonts w:ascii="宋体"/>
                <w:b/>
                <w:szCs w:val="21"/>
              </w:rPr>
            </w:pPr>
            <w:bookmarkStart w:id="13" w:name="_Toc318932192"/>
            <w:bookmarkStart w:id="14" w:name="_Toc294794565"/>
            <w:r>
              <w:rPr>
                <w:rFonts w:hint="eastAsia" w:ascii="宋体" w:hAnsi="宋体"/>
                <w:b/>
                <w:szCs w:val="21"/>
              </w:rPr>
              <w:t>序号</w:t>
            </w:r>
          </w:p>
        </w:tc>
        <w:tc>
          <w:tcPr>
            <w:tcW w:w="1926" w:type="dxa"/>
            <w:tcBorders>
              <w:top w:val="single" w:color="auto" w:sz="12" w:space="0"/>
            </w:tcBorders>
            <w:vAlign w:val="center"/>
          </w:tcPr>
          <w:p>
            <w:pPr>
              <w:spacing w:line="420" w:lineRule="exact"/>
              <w:jc w:val="center"/>
              <w:rPr>
                <w:rFonts w:ascii="宋体"/>
                <w:b/>
                <w:szCs w:val="21"/>
              </w:rPr>
            </w:pPr>
            <w:r>
              <w:rPr>
                <w:rFonts w:hint="eastAsia" w:ascii="宋体" w:hAnsi="宋体"/>
                <w:b/>
                <w:szCs w:val="21"/>
              </w:rPr>
              <w:t>内　容</w:t>
            </w:r>
          </w:p>
        </w:tc>
        <w:tc>
          <w:tcPr>
            <w:tcW w:w="6478" w:type="dxa"/>
            <w:gridSpan w:val="2"/>
            <w:tcBorders>
              <w:top w:val="single" w:color="auto" w:sz="12" w:space="0"/>
            </w:tcBorders>
            <w:vAlign w:val="center"/>
          </w:tcPr>
          <w:p>
            <w:pPr>
              <w:spacing w:line="420" w:lineRule="exact"/>
              <w:jc w:val="center"/>
              <w:rPr>
                <w:rFonts w:asci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5" w:type="dxa"/>
            <w:vAlign w:val="center"/>
          </w:tcPr>
          <w:p>
            <w:pPr>
              <w:spacing w:line="420" w:lineRule="exact"/>
              <w:jc w:val="center"/>
              <w:rPr>
                <w:rFonts w:ascii="宋体" w:cs="Calibri"/>
                <w:szCs w:val="21"/>
              </w:rPr>
            </w:pPr>
            <w:r>
              <w:rPr>
                <w:rFonts w:ascii="宋体" w:hAnsi="宋体" w:cs="Calibri"/>
                <w:szCs w:val="21"/>
              </w:rPr>
              <w:t>1</w:t>
            </w:r>
          </w:p>
        </w:tc>
        <w:tc>
          <w:tcPr>
            <w:tcW w:w="1926" w:type="dxa"/>
            <w:vAlign w:val="center"/>
          </w:tcPr>
          <w:p>
            <w:pPr>
              <w:spacing w:line="420" w:lineRule="exact"/>
              <w:jc w:val="center"/>
              <w:rPr>
                <w:rFonts w:ascii="宋体"/>
                <w:szCs w:val="21"/>
              </w:rPr>
            </w:pPr>
            <w:r>
              <w:rPr>
                <w:rFonts w:hint="eastAsia" w:ascii="宋体" w:hAnsi="宋体"/>
                <w:szCs w:val="21"/>
              </w:rPr>
              <w:t>招标人</w:t>
            </w:r>
          </w:p>
        </w:tc>
        <w:tc>
          <w:tcPr>
            <w:tcW w:w="6478" w:type="dxa"/>
            <w:gridSpan w:val="2"/>
            <w:vAlign w:val="center"/>
          </w:tcPr>
          <w:p>
            <w:pPr>
              <w:spacing w:line="420" w:lineRule="exact"/>
              <w:jc w:val="left"/>
              <w:rPr>
                <w:rFonts w:ascii="宋体"/>
                <w:szCs w:val="21"/>
              </w:rPr>
            </w:pPr>
            <w:r>
              <w:rPr>
                <w:rFonts w:ascii="宋体"/>
                <w:szCs w:val="21"/>
              </w:rPr>
              <w:t>招标人：河南质量工程职业学院</w:t>
            </w:r>
          </w:p>
          <w:p>
            <w:pPr>
              <w:spacing w:line="420" w:lineRule="exact"/>
              <w:jc w:val="left"/>
              <w:rPr>
                <w:rFonts w:ascii="宋体"/>
                <w:szCs w:val="21"/>
              </w:rPr>
            </w:pPr>
            <w:r>
              <w:rPr>
                <w:rFonts w:ascii="宋体"/>
                <w:szCs w:val="21"/>
              </w:rPr>
              <w:t xml:space="preserve">联系人：马老师 </w:t>
            </w:r>
          </w:p>
          <w:p>
            <w:pPr>
              <w:spacing w:line="420" w:lineRule="exact"/>
              <w:jc w:val="left"/>
              <w:rPr>
                <w:rFonts w:ascii="宋体"/>
                <w:szCs w:val="21"/>
              </w:rPr>
            </w:pPr>
            <w:r>
              <w:rPr>
                <w:rFonts w:ascii="宋体"/>
                <w:szCs w:val="21"/>
              </w:rPr>
              <w:t>联系电话：0375-7668752</w:t>
            </w:r>
          </w:p>
          <w:p>
            <w:pPr>
              <w:spacing w:line="420" w:lineRule="exact"/>
              <w:jc w:val="left"/>
              <w:rPr>
                <w:rFonts w:ascii="宋体"/>
                <w:color w:val="FF0000"/>
                <w:szCs w:val="21"/>
              </w:rPr>
            </w:pPr>
            <w:r>
              <w:rPr>
                <w:rFonts w:ascii="宋体"/>
                <w:szCs w:val="21"/>
              </w:rPr>
              <w:t>地址：河南平顶山市姚电大道中段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35" w:type="dxa"/>
            <w:vAlign w:val="center"/>
          </w:tcPr>
          <w:p>
            <w:pPr>
              <w:spacing w:line="420" w:lineRule="exact"/>
              <w:jc w:val="center"/>
              <w:rPr>
                <w:rFonts w:ascii="宋体" w:cs="Calibri"/>
                <w:szCs w:val="21"/>
              </w:rPr>
            </w:pPr>
            <w:r>
              <w:rPr>
                <w:rFonts w:ascii="宋体" w:hAnsi="宋体" w:cs="Calibri"/>
                <w:szCs w:val="21"/>
              </w:rPr>
              <w:t>2</w:t>
            </w:r>
          </w:p>
        </w:tc>
        <w:tc>
          <w:tcPr>
            <w:tcW w:w="1926" w:type="dxa"/>
            <w:vAlign w:val="center"/>
          </w:tcPr>
          <w:p>
            <w:pPr>
              <w:spacing w:line="420" w:lineRule="exact"/>
              <w:jc w:val="center"/>
              <w:rPr>
                <w:rFonts w:ascii="宋体"/>
                <w:szCs w:val="21"/>
              </w:rPr>
            </w:pPr>
            <w:r>
              <w:rPr>
                <w:rFonts w:hint="eastAsia" w:ascii="宋体" w:hAnsi="宋体"/>
                <w:szCs w:val="21"/>
              </w:rPr>
              <w:t>招标代理机构</w:t>
            </w:r>
          </w:p>
        </w:tc>
        <w:tc>
          <w:tcPr>
            <w:tcW w:w="6478" w:type="dxa"/>
            <w:gridSpan w:val="2"/>
            <w:vAlign w:val="center"/>
          </w:tcPr>
          <w:p>
            <w:pPr>
              <w:spacing w:line="420" w:lineRule="exact"/>
              <w:jc w:val="left"/>
              <w:rPr>
                <w:rFonts w:ascii="宋体"/>
                <w:szCs w:val="21"/>
              </w:rPr>
            </w:pPr>
            <w:r>
              <w:rPr>
                <w:rFonts w:hint="eastAsia" w:ascii="宋体"/>
                <w:szCs w:val="21"/>
              </w:rPr>
              <w:t>代理机构：中和中基工程管理有限公司</w:t>
            </w:r>
          </w:p>
          <w:p>
            <w:pPr>
              <w:spacing w:line="420" w:lineRule="exact"/>
              <w:jc w:val="left"/>
              <w:rPr>
                <w:rFonts w:ascii="宋体"/>
                <w:szCs w:val="21"/>
              </w:rPr>
            </w:pPr>
            <w:r>
              <w:rPr>
                <w:rFonts w:hint="eastAsia" w:ascii="宋体"/>
                <w:szCs w:val="21"/>
              </w:rPr>
              <w:t>联系人：张女士</w:t>
            </w:r>
          </w:p>
          <w:p>
            <w:pPr>
              <w:spacing w:line="420" w:lineRule="exact"/>
              <w:jc w:val="left"/>
              <w:rPr>
                <w:rFonts w:ascii="宋体"/>
                <w:szCs w:val="21"/>
              </w:rPr>
            </w:pPr>
            <w:r>
              <w:rPr>
                <w:rFonts w:hint="eastAsia" w:ascii="宋体"/>
                <w:szCs w:val="21"/>
              </w:rPr>
              <w:t>联系电话：17637586360</w:t>
            </w:r>
          </w:p>
          <w:p>
            <w:pPr>
              <w:spacing w:line="420" w:lineRule="exact"/>
              <w:jc w:val="left"/>
              <w:rPr>
                <w:rFonts w:ascii="宋体"/>
                <w:szCs w:val="21"/>
              </w:rPr>
            </w:pPr>
            <w:r>
              <w:rPr>
                <w:rFonts w:hint="eastAsia" w:ascii="宋体"/>
                <w:szCs w:val="21"/>
              </w:rPr>
              <w:t>地  址：平顶山市中兴路南段联通大楼11楼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835" w:type="dxa"/>
            <w:vAlign w:val="center"/>
          </w:tcPr>
          <w:p>
            <w:pPr>
              <w:spacing w:line="420" w:lineRule="exact"/>
              <w:jc w:val="center"/>
              <w:rPr>
                <w:rFonts w:ascii="宋体" w:cs="Calibri"/>
                <w:szCs w:val="21"/>
              </w:rPr>
            </w:pPr>
            <w:r>
              <w:rPr>
                <w:rFonts w:ascii="宋体" w:hAnsi="宋体" w:cs="Calibri"/>
                <w:szCs w:val="21"/>
              </w:rPr>
              <w:t>3</w:t>
            </w:r>
          </w:p>
        </w:tc>
        <w:tc>
          <w:tcPr>
            <w:tcW w:w="1926" w:type="dxa"/>
            <w:vAlign w:val="center"/>
          </w:tcPr>
          <w:p>
            <w:pPr>
              <w:spacing w:line="420" w:lineRule="exact"/>
              <w:jc w:val="center"/>
              <w:rPr>
                <w:rFonts w:ascii="宋体"/>
                <w:szCs w:val="21"/>
              </w:rPr>
            </w:pPr>
            <w:r>
              <w:rPr>
                <w:rFonts w:hint="eastAsia" w:ascii="宋体" w:hAnsi="宋体"/>
                <w:szCs w:val="21"/>
              </w:rPr>
              <w:t>项目名称</w:t>
            </w:r>
          </w:p>
        </w:tc>
        <w:tc>
          <w:tcPr>
            <w:tcW w:w="6478" w:type="dxa"/>
            <w:gridSpan w:val="2"/>
            <w:vAlign w:val="center"/>
          </w:tcPr>
          <w:p>
            <w:pPr>
              <w:overflowPunct w:val="0"/>
              <w:topLinePunct/>
              <w:adjustRightInd w:val="0"/>
              <w:snapToGrid w:val="0"/>
              <w:spacing w:line="440" w:lineRule="exact"/>
              <w:textAlignment w:val="top"/>
              <w:rPr>
                <w:rFonts w:ascii="宋体"/>
                <w:szCs w:val="21"/>
              </w:rPr>
            </w:pPr>
            <w:r>
              <w:rPr>
                <w:rFonts w:hint="eastAsia" w:ascii="宋体"/>
                <w:szCs w:val="21"/>
                <w:lang w:eastAsia="zh-CN"/>
              </w:rPr>
              <w:t>河南质量工程职业学院</w:t>
            </w:r>
            <w:r>
              <w:rPr>
                <w:rFonts w:hint="eastAsia" w:ascii="宋体"/>
                <w:szCs w:val="21"/>
              </w:rPr>
              <w:t>建筑材料检测技术生产性实训基地设备采购项目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exact"/>
          <w:jc w:val="center"/>
        </w:trPr>
        <w:tc>
          <w:tcPr>
            <w:tcW w:w="835" w:type="dxa"/>
            <w:vAlign w:val="center"/>
          </w:tcPr>
          <w:p>
            <w:pPr>
              <w:spacing w:line="420" w:lineRule="exact"/>
              <w:jc w:val="center"/>
              <w:rPr>
                <w:rFonts w:ascii="宋体" w:cs="Calibri"/>
                <w:szCs w:val="21"/>
              </w:rPr>
            </w:pPr>
            <w:r>
              <w:rPr>
                <w:rFonts w:ascii="宋体" w:hAnsi="宋体" w:cs="Calibri"/>
                <w:szCs w:val="21"/>
              </w:rPr>
              <w:t>4</w:t>
            </w:r>
          </w:p>
        </w:tc>
        <w:tc>
          <w:tcPr>
            <w:tcW w:w="1926" w:type="dxa"/>
            <w:vAlign w:val="center"/>
          </w:tcPr>
          <w:p>
            <w:pPr>
              <w:spacing w:line="420" w:lineRule="exact"/>
              <w:jc w:val="center"/>
              <w:rPr>
                <w:rFonts w:ascii="宋体"/>
                <w:szCs w:val="21"/>
              </w:rPr>
            </w:pPr>
            <w:r>
              <w:rPr>
                <w:rFonts w:hint="eastAsia" w:ascii="宋体" w:hAnsi="宋体"/>
                <w:szCs w:val="21"/>
              </w:rPr>
              <w:t>采购内容</w:t>
            </w:r>
          </w:p>
        </w:tc>
        <w:tc>
          <w:tcPr>
            <w:tcW w:w="6478" w:type="dxa"/>
            <w:gridSpan w:val="2"/>
            <w:vAlign w:val="center"/>
          </w:tcPr>
          <w:p>
            <w:pPr>
              <w:overflowPunct w:val="0"/>
              <w:topLinePunct/>
              <w:adjustRightInd w:val="0"/>
              <w:snapToGrid w:val="0"/>
              <w:spacing w:line="440" w:lineRule="exact"/>
              <w:textAlignment w:val="top"/>
              <w:rPr>
                <w:rFonts w:ascii="宋体"/>
                <w:szCs w:val="21"/>
              </w:rPr>
            </w:pPr>
            <w:r>
              <w:rPr>
                <w:rFonts w:hint="eastAsia" w:ascii="宋体"/>
                <w:szCs w:val="21"/>
              </w:rPr>
              <w:t>相关参数详见招标文件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35" w:type="dxa"/>
            <w:vAlign w:val="center"/>
          </w:tcPr>
          <w:p>
            <w:pPr>
              <w:spacing w:line="420" w:lineRule="exact"/>
              <w:jc w:val="center"/>
              <w:rPr>
                <w:rFonts w:ascii="宋体" w:cs="Calibri"/>
                <w:szCs w:val="21"/>
              </w:rPr>
            </w:pPr>
            <w:r>
              <w:rPr>
                <w:rFonts w:hint="eastAsia" w:ascii="宋体" w:hAnsi="宋体" w:cs="Calibri"/>
                <w:szCs w:val="21"/>
              </w:rPr>
              <w:t>5</w:t>
            </w:r>
          </w:p>
        </w:tc>
        <w:tc>
          <w:tcPr>
            <w:tcW w:w="1926" w:type="dxa"/>
            <w:vAlign w:val="center"/>
          </w:tcPr>
          <w:p>
            <w:pPr>
              <w:overflowPunct w:val="0"/>
              <w:topLinePunct/>
              <w:adjustRightInd w:val="0"/>
              <w:snapToGrid w:val="0"/>
              <w:spacing w:line="440" w:lineRule="exact"/>
              <w:jc w:val="center"/>
              <w:textAlignment w:val="top"/>
              <w:rPr>
                <w:rFonts w:ascii="宋体"/>
                <w:szCs w:val="21"/>
              </w:rPr>
            </w:pPr>
            <w:r>
              <w:rPr>
                <w:rFonts w:hint="eastAsia" w:ascii="宋体"/>
                <w:szCs w:val="21"/>
              </w:rPr>
              <w:t>供货期</w:t>
            </w:r>
          </w:p>
        </w:tc>
        <w:tc>
          <w:tcPr>
            <w:tcW w:w="6478" w:type="dxa"/>
            <w:gridSpan w:val="2"/>
            <w:vAlign w:val="center"/>
          </w:tcPr>
          <w:p>
            <w:pPr>
              <w:overflowPunct w:val="0"/>
              <w:topLinePunct/>
              <w:adjustRightInd w:val="0"/>
              <w:snapToGrid w:val="0"/>
              <w:spacing w:line="440" w:lineRule="exact"/>
              <w:textAlignment w:val="top"/>
              <w:rPr>
                <w:rFonts w:ascii="宋体"/>
                <w:szCs w:val="21"/>
              </w:rPr>
            </w:pPr>
            <w:r>
              <w:rPr>
                <w:rFonts w:hint="eastAsia" w:ascii="宋体"/>
                <w:color w:val="1D41D5"/>
                <w:szCs w:val="21"/>
              </w:rPr>
              <w:t>合同签订后20日历天。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35" w:type="dxa"/>
            <w:vAlign w:val="center"/>
          </w:tcPr>
          <w:p>
            <w:pPr>
              <w:spacing w:line="420" w:lineRule="exact"/>
              <w:jc w:val="center"/>
              <w:rPr>
                <w:rFonts w:ascii="宋体" w:hAnsi="宋体" w:cs="Calibri"/>
                <w:color w:val="000000"/>
                <w:szCs w:val="21"/>
              </w:rPr>
            </w:pPr>
            <w:r>
              <w:rPr>
                <w:rFonts w:hint="eastAsia" w:ascii="宋体" w:hAnsi="宋体" w:cs="Calibri"/>
                <w:color w:val="000000"/>
                <w:szCs w:val="21"/>
              </w:rPr>
              <w:t>6</w:t>
            </w:r>
          </w:p>
        </w:tc>
        <w:tc>
          <w:tcPr>
            <w:tcW w:w="1926" w:type="dxa"/>
            <w:vAlign w:val="center"/>
          </w:tcPr>
          <w:p>
            <w:pPr>
              <w:spacing w:line="420" w:lineRule="exact"/>
              <w:jc w:val="center"/>
              <w:rPr>
                <w:rFonts w:ascii="宋体" w:hAnsi="宋体"/>
                <w:color w:val="000000"/>
                <w:szCs w:val="21"/>
              </w:rPr>
            </w:pPr>
            <w:r>
              <w:rPr>
                <w:rFonts w:hint="eastAsia" w:ascii="宋体" w:hAnsi="宋体"/>
                <w:color w:val="000000"/>
                <w:szCs w:val="21"/>
              </w:rPr>
              <w:t>质量要求</w:t>
            </w:r>
          </w:p>
        </w:tc>
        <w:tc>
          <w:tcPr>
            <w:tcW w:w="6478" w:type="dxa"/>
            <w:gridSpan w:val="2"/>
            <w:vAlign w:val="center"/>
          </w:tcPr>
          <w:p>
            <w:pPr>
              <w:overflowPunct w:val="0"/>
              <w:topLinePunct/>
              <w:adjustRightInd w:val="0"/>
              <w:snapToGrid w:val="0"/>
              <w:spacing w:line="440" w:lineRule="exact"/>
              <w:textAlignment w:val="top"/>
              <w:rPr>
                <w:rFonts w:ascii="宋体"/>
                <w:szCs w:val="21"/>
              </w:rPr>
            </w:pPr>
            <w:r>
              <w:rPr>
                <w:rFonts w:hint="eastAsia" w:ascii="宋体"/>
                <w:szCs w:val="21"/>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35" w:type="dxa"/>
            <w:vAlign w:val="center"/>
          </w:tcPr>
          <w:p>
            <w:pPr>
              <w:spacing w:line="420" w:lineRule="exact"/>
              <w:jc w:val="center"/>
              <w:rPr>
                <w:rFonts w:ascii="宋体" w:cs="Calibri"/>
                <w:szCs w:val="21"/>
              </w:rPr>
            </w:pPr>
            <w:r>
              <w:rPr>
                <w:rFonts w:hint="eastAsia" w:ascii="宋体" w:hAnsi="宋体" w:cs="Calibri"/>
                <w:szCs w:val="21"/>
              </w:rPr>
              <w:t>7</w:t>
            </w:r>
          </w:p>
        </w:tc>
        <w:tc>
          <w:tcPr>
            <w:tcW w:w="1926" w:type="dxa"/>
            <w:vAlign w:val="center"/>
          </w:tcPr>
          <w:p>
            <w:pPr>
              <w:spacing w:line="420" w:lineRule="exact"/>
              <w:jc w:val="center"/>
              <w:rPr>
                <w:rFonts w:ascii="宋体"/>
                <w:szCs w:val="21"/>
              </w:rPr>
            </w:pPr>
            <w:r>
              <w:rPr>
                <w:rFonts w:hint="eastAsia" w:ascii="宋体" w:hAnsi="宋体"/>
                <w:szCs w:val="21"/>
              </w:rPr>
              <w:t>供应商资格要求</w:t>
            </w:r>
          </w:p>
        </w:tc>
        <w:tc>
          <w:tcPr>
            <w:tcW w:w="6478" w:type="dxa"/>
            <w:gridSpan w:val="2"/>
            <w:vAlign w:val="center"/>
          </w:tcPr>
          <w:p>
            <w:pPr>
              <w:spacing w:line="420" w:lineRule="exact"/>
              <w:jc w:val="left"/>
            </w:pPr>
            <w:r>
              <w:rPr>
                <w:rFonts w:hint="eastAsia"/>
              </w:rPr>
              <w:t>1、供应商应符合《中华人民共和国政府采购法》第二十二条的规定，提供下列材料：</w:t>
            </w:r>
          </w:p>
          <w:p>
            <w:pPr>
              <w:spacing w:line="420" w:lineRule="exact"/>
              <w:jc w:val="left"/>
            </w:pPr>
            <w:r>
              <w:rPr>
                <w:rFonts w:hint="eastAsia"/>
              </w:rPr>
              <w:t>（1）具有独立承担民事责任的能力（供应商具有独立法人资格，具备有效经营范围的营业执照、税务登记证、组织机构代码证（或三证合一的营业执照)）；</w:t>
            </w:r>
          </w:p>
          <w:p>
            <w:pPr>
              <w:spacing w:line="420" w:lineRule="exact"/>
              <w:jc w:val="left"/>
            </w:pPr>
            <w:r>
              <w:rPr>
                <w:rFonts w:hint="eastAsia"/>
              </w:rPr>
              <w:t>（2）具有良好的商业信誉和健全的财务会计制度（提2016.2017.2018三年财务审计报告，新成立公司提供成立至2018年的财务报告）；</w:t>
            </w:r>
          </w:p>
          <w:p>
            <w:pPr>
              <w:spacing w:line="440" w:lineRule="exact"/>
              <w:ind w:firstLine="420" w:firstLineChars="200"/>
              <w:jc w:val="left"/>
              <w:rPr>
                <w:rFonts w:asciiTheme="minorEastAsia" w:hAnsiTheme="minorEastAsia" w:eastAsiaTheme="minorEastAsia" w:cstheme="minorEastAsia"/>
                <w:kern w:val="0"/>
                <w:sz w:val="24"/>
                <w:highlight w:val="none"/>
              </w:rPr>
            </w:pPr>
            <w:r>
              <w:rPr>
                <w:rFonts w:hint="eastAsia"/>
              </w:rPr>
              <w:t>（3）有依法缴纳税收和社会保障资金的良好记录</w:t>
            </w:r>
            <w:r>
              <w:rPr>
                <w:rFonts w:hint="eastAsia"/>
                <w:highlight w:val="none"/>
              </w:rPr>
              <w:t>（</w:t>
            </w:r>
            <w:r>
              <w:rPr>
                <w:rFonts w:hint="eastAsia" w:asciiTheme="minorEastAsia" w:hAnsiTheme="minorEastAsia" w:eastAsiaTheme="minorEastAsia" w:cstheme="minorEastAsia"/>
                <w:kern w:val="0"/>
                <w:sz w:val="24"/>
                <w:highlight w:val="none"/>
              </w:rPr>
              <w:t>提供相关证明材料及不少于10人的近半年的社保证明，格式自拟）；</w:t>
            </w:r>
          </w:p>
          <w:p>
            <w:pPr>
              <w:spacing w:line="440" w:lineRule="exact"/>
              <w:ind w:firstLine="420" w:firstLineChars="200"/>
              <w:jc w:val="left"/>
              <w:rPr>
                <w:rFonts w:asciiTheme="minorEastAsia" w:hAnsiTheme="minorEastAsia" w:eastAsiaTheme="minorEastAsia" w:cstheme="minorEastAsia"/>
                <w:kern w:val="0"/>
                <w:sz w:val="24"/>
                <w:highlight w:val="none"/>
              </w:rPr>
            </w:pPr>
            <w:r>
              <w:rPr>
                <w:rFonts w:hint="eastAsia"/>
                <w:highlight w:val="none"/>
              </w:rPr>
              <w:t>（4）具有履行合同所必需的设备和专业技术能力（</w:t>
            </w:r>
            <w:r>
              <w:rPr>
                <w:rFonts w:hint="eastAsia" w:asciiTheme="minorEastAsia" w:hAnsiTheme="minorEastAsia" w:eastAsiaTheme="minorEastAsia" w:cstheme="minorEastAsia"/>
                <w:kern w:val="0"/>
                <w:sz w:val="24"/>
                <w:highlight w:val="none"/>
              </w:rPr>
              <w:t>提供包括且不限于万能试验机、水泥抗折试验机等计量器具产品近三年省级质量技术部门颁发的中华人民共和国计量器具型式批准证书）；</w:t>
            </w:r>
          </w:p>
          <w:p>
            <w:pPr>
              <w:spacing w:line="420" w:lineRule="exact"/>
              <w:jc w:val="left"/>
            </w:pPr>
            <w:r>
              <w:rPr>
                <w:rFonts w:hint="eastAsia"/>
                <w:highlight w:val="none"/>
              </w:rPr>
              <w:t>（5）参加政府采购活动前三年内，在经营活动中没有重大违</w:t>
            </w:r>
            <w:r>
              <w:rPr>
                <w:rFonts w:hint="eastAsia"/>
              </w:rPr>
              <w:t>法记录的书面声明（提供承诺书，格式自拟）；</w:t>
            </w:r>
          </w:p>
          <w:p>
            <w:pPr>
              <w:spacing w:line="420" w:lineRule="exact"/>
              <w:jc w:val="left"/>
            </w:pPr>
            <w:r>
              <w:rPr>
                <w:rFonts w:hint="eastAsia"/>
              </w:rPr>
              <w:t>3、供应商须提供“信用中国”网站“失信被执行人”和“重大税收违法案件当事人名单”，中国政府采购网站的“政府采购严重违法失信行为记录名单”，网页查询截图，若有不良记录报名无效；</w:t>
            </w:r>
          </w:p>
          <w:p>
            <w:pPr>
              <w:spacing w:line="420" w:lineRule="exact"/>
              <w:jc w:val="left"/>
            </w:pPr>
            <w:r>
              <w:rPr>
                <w:rFonts w:hint="eastAsia"/>
              </w:rPr>
              <w:t>4、本次招标不接受联合体投标。</w:t>
            </w:r>
          </w:p>
          <w:p>
            <w:pPr>
              <w:spacing w:line="420" w:lineRule="exact"/>
              <w:jc w:val="left"/>
              <w:rPr>
                <w:rFonts w:ascii="宋体"/>
                <w:color w:val="FF0000"/>
                <w:szCs w:val="21"/>
                <w:shd w:val="clear" w:color="auto" w:fill="FFFFFF"/>
              </w:rPr>
            </w:pPr>
            <w:r>
              <w:rPr>
                <w:rFonts w:hint="eastAsia"/>
              </w:rPr>
              <w:t>5、资格审查为资格后审。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35" w:type="dxa"/>
            <w:vAlign w:val="center"/>
          </w:tcPr>
          <w:p>
            <w:pPr>
              <w:spacing w:line="420" w:lineRule="exact"/>
              <w:jc w:val="center"/>
              <w:rPr>
                <w:rFonts w:ascii="宋体" w:cs="Calibri"/>
                <w:szCs w:val="21"/>
              </w:rPr>
            </w:pPr>
            <w:r>
              <w:rPr>
                <w:rFonts w:hint="eastAsia" w:ascii="宋体" w:hAnsi="宋体" w:cs="Calibri"/>
                <w:szCs w:val="21"/>
              </w:rPr>
              <w:t>8</w:t>
            </w:r>
          </w:p>
        </w:tc>
        <w:tc>
          <w:tcPr>
            <w:tcW w:w="1926" w:type="dxa"/>
            <w:vAlign w:val="center"/>
          </w:tcPr>
          <w:p>
            <w:pPr>
              <w:spacing w:line="420" w:lineRule="exact"/>
              <w:jc w:val="center"/>
              <w:rPr>
                <w:rFonts w:ascii="宋体"/>
                <w:szCs w:val="21"/>
              </w:rPr>
            </w:pPr>
            <w:r>
              <w:rPr>
                <w:rFonts w:hint="eastAsia" w:ascii="宋体" w:hAnsi="宋体"/>
                <w:szCs w:val="21"/>
              </w:rPr>
              <w:t>资格审查方式</w:t>
            </w:r>
          </w:p>
        </w:tc>
        <w:tc>
          <w:tcPr>
            <w:tcW w:w="6478" w:type="dxa"/>
            <w:gridSpan w:val="2"/>
            <w:vAlign w:val="center"/>
          </w:tcPr>
          <w:p>
            <w:pPr>
              <w:spacing w:line="420" w:lineRule="exact"/>
              <w:rPr>
                <w:rFonts w:ascii="宋体"/>
                <w:szCs w:val="21"/>
              </w:rPr>
            </w:pPr>
            <w:r>
              <w:rPr>
                <w:rFonts w:hint="eastAsia" w:ascii="宋体" w:hAnsi="宋体"/>
                <w:szCs w:val="21"/>
              </w:rPr>
              <w:t>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5" w:type="dxa"/>
            <w:vAlign w:val="center"/>
          </w:tcPr>
          <w:p>
            <w:pPr>
              <w:spacing w:line="420" w:lineRule="exact"/>
              <w:jc w:val="center"/>
              <w:rPr>
                <w:rFonts w:ascii="宋体"/>
                <w:szCs w:val="21"/>
              </w:rPr>
            </w:pPr>
            <w:r>
              <w:rPr>
                <w:rFonts w:hint="eastAsia" w:ascii="宋体" w:hAnsi="宋体"/>
                <w:szCs w:val="21"/>
              </w:rPr>
              <w:t>9</w:t>
            </w:r>
          </w:p>
        </w:tc>
        <w:tc>
          <w:tcPr>
            <w:tcW w:w="1926" w:type="dxa"/>
            <w:vAlign w:val="center"/>
          </w:tcPr>
          <w:p>
            <w:pPr>
              <w:spacing w:line="420" w:lineRule="exact"/>
              <w:jc w:val="center"/>
              <w:rPr>
                <w:rFonts w:ascii="宋体"/>
                <w:szCs w:val="21"/>
              </w:rPr>
            </w:pPr>
            <w:r>
              <w:rPr>
                <w:rFonts w:hint="eastAsia" w:ascii="宋体" w:hAnsi="宋体"/>
                <w:szCs w:val="21"/>
              </w:rPr>
              <w:t>投标报价</w:t>
            </w:r>
          </w:p>
        </w:tc>
        <w:tc>
          <w:tcPr>
            <w:tcW w:w="6478" w:type="dxa"/>
            <w:gridSpan w:val="2"/>
            <w:vAlign w:val="center"/>
          </w:tcPr>
          <w:p>
            <w:pPr>
              <w:spacing w:line="380" w:lineRule="exact"/>
              <w:rPr>
                <w:rFonts w:ascii="宋体"/>
                <w:szCs w:val="21"/>
              </w:rPr>
            </w:pPr>
            <w:r>
              <w:rPr>
                <w:rFonts w:hint="eastAsia" w:ascii="宋体" w:hAnsi="Arial Unicode MS" w:cs="Arial Unicode MS"/>
                <w:kern w:val="0"/>
                <w:szCs w:val="21"/>
                <w:shd w:val="clear" w:color="auto" w:fill="FFFFFF"/>
              </w:rPr>
              <w:t>唯一报价。此报价包括价款、运输、税费。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35" w:type="dxa"/>
            <w:vAlign w:val="center"/>
          </w:tcPr>
          <w:p>
            <w:pPr>
              <w:spacing w:line="420" w:lineRule="exact"/>
              <w:jc w:val="center"/>
              <w:rPr>
                <w:rFonts w:ascii="宋体"/>
                <w:szCs w:val="21"/>
              </w:rPr>
            </w:pPr>
            <w:r>
              <w:rPr>
                <w:rFonts w:hint="eastAsia" w:ascii="宋体" w:hAnsi="宋体"/>
                <w:szCs w:val="21"/>
              </w:rPr>
              <w:t>10</w:t>
            </w:r>
          </w:p>
        </w:tc>
        <w:tc>
          <w:tcPr>
            <w:tcW w:w="1926" w:type="dxa"/>
            <w:vAlign w:val="center"/>
          </w:tcPr>
          <w:p>
            <w:pPr>
              <w:spacing w:line="420" w:lineRule="exact"/>
              <w:jc w:val="center"/>
              <w:rPr>
                <w:rFonts w:ascii="宋体"/>
                <w:szCs w:val="21"/>
              </w:rPr>
            </w:pPr>
            <w:r>
              <w:rPr>
                <w:rFonts w:hint="eastAsia" w:ascii="宋体" w:hAnsi="宋体"/>
                <w:szCs w:val="21"/>
              </w:rPr>
              <w:t>投标截止时间</w:t>
            </w:r>
          </w:p>
        </w:tc>
        <w:tc>
          <w:tcPr>
            <w:tcW w:w="6478" w:type="dxa"/>
            <w:gridSpan w:val="2"/>
            <w:vAlign w:val="center"/>
          </w:tcPr>
          <w:p>
            <w:pPr>
              <w:spacing w:line="400" w:lineRule="exact"/>
              <w:jc w:val="left"/>
              <w:rPr>
                <w:rFonts w:ascii="宋体"/>
                <w:szCs w:val="21"/>
              </w:rPr>
            </w:pPr>
            <w:r>
              <w:rPr>
                <w:rFonts w:hint="eastAsia" w:ascii="宋体" w:hAnsi="宋体"/>
                <w:b/>
                <w:bCs/>
                <w:szCs w:val="21"/>
              </w:rPr>
              <w:t>2019年</w:t>
            </w:r>
            <w:r>
              <w:rPr>
                <w:rFonts w:hint="eastAsia" w:ascii="宋体" w:hAnsi="宋体"/>
                <w:b/>
                <w:bCs/>
                <w:szCs w:val="21"/>
                <w:lang w:val="en-US" w:eastAsia="zh-CN"/>
              </w:rPr>
              <w:t>12</w:t>
            </w:r>
            <w:r>
              <w:rPr>
                <w:rFonts w:hint="eastAsia" w:ascii="宋体" w:hAnsi="宋体"/>
                <w:b/>
                <w:bCs/>
                <w:szCs w:val="21"/>
              </w:rPr>
              <w:t>月</w:t>
            </w:r>
            <w:r>
              <w:rPr>
                <w:rFonts w:hint="eastAsia" w:ascii="宋体" w:hAnsi="宋体"/>
                <w:b/>
                <w:bCs/>
                <w:szCs w:val="21"/>
                <w:lang w:val="en-US" w:eastAsia="zh-CN"/>
              </w:rPr>
              <w:t>12</w:t>
            </w:r>
            <w:r>
              <w:rPr>
                <w:rFonts w:hint="eastAsia" w:ascii="宋体" w:hAnsi="宋体"/>
                <w:b/>
                <w:bCs/>
                <w:szCs w:val="21"/>
              </w:rPr>
              <w:t>日</w:t>
            </w:r>
            <w:r>
              <w:rPr>
                <w:rFonts w:hint="eastAsia" w:ascii="宋体" w:hAnsi="宋体"/>
                <w:b/>
                <w:bCs/>
                <w:szCs w:val="21"/>
                <w:lang w:val="en-US" w:eastAsia="zh-CN"/>
              </w:rPr>
              <w:t>10</w:t>
            </w:r>
            <w:r>
              <w:rPr>
                <w:rFonts w:hint="eastAsia" w:ascii="宋体" w:hAnsi="宋体"/>
                <w:b/>
                <w:bCs/>
                <w:szCs w:val="21"/>
              </w:rPr>
              <w:t>时</w:t>
            </w:r>
            <w:r>
              <w:rPr>
                <w:rFonts w:hint="eastAsia" w:ascii="宋体" w:hAnsi="宋体"/>
                <w:b/>
                <w:bCs/>
                <w:szCs w:val="21"/>
                <w:lang w:val="en-US" w:eastAsia="zh-CN"/>
              </w:rPr>
              <w:t>00</w:t>
            </w:r>
            <w:r>
              <w:rPr>
                <w:rFonts w:hint="eastAsia" w:ascii="宋体" w:hAnsi="宋体"/>
                <w:b/>
                <w:bCs/>
                <w:szCs w:val="21"/>
              </w:rPr>
              <w:t>分</w:t>
            </w:r>
            <w:r>
              <w:rPr>
                <w:rFonts w:ascii="宋体" w:hAnsi="宋体"/>
                <w:b/>
                <w:bCs/>
                <w:szCs w:val="21"/>
              </w:rPr>
              <w:t>(</w:t>
            </w:r>
            <w:r>
              <w:rPr>
                <w:rFonts w:hint="eastAsia" w:ascii="宋体" w:hAnsi="宋体"/>
                <w:b/>
                <w:bCs/>
                <w:szCs w:val="21"/>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35" w:type="dxa"/>
            <w:vAlign w:val="center"/>
          </w:tcPr>
          <w:p>
            <w:pPr>
              <w:spacing w:line="420" w:lineRule="exact"/>
              <w:jc w:val="center"/>
              <w:rPr>
                <w:rFonts w:ascii="宋体"/>
                <w:szCs w:val="21"/>
              </w:rPr>
            </w:pPr>
            <w:r>
              <w:rPr>
                <w:rFonts w:hint="eastAsia" w:ascii="宋体" w:hAnsi="宋体"/>
                <w:szCs w:val="21"/>
              </w:rPr>
              <w:t>11</w:t>
            </w:r>
          </w:p>
        </w:tc>
        <w:tc>
          <w:tcPr>
            <w:tcW w:w="1926" w:type="dxa"/>
            <w:vAlign w:val="center"/>
          </w:tcPr>
          <w:p>
            <w:pPr>
              <w:spacing w:line="320" w:lineRule="exact"/>
              <w:jc w:val="center"/>
              <w:rPr>
                <w:rFonts w:ascii="宋体"/>
                <w:szCs w:val="21"/>
              </w:rPr>
            </w:pPr>
            <w:r>
              <w:rPr>
                <w:rFonts w:hint="eastAsia" w:ascii="宋体" w:hAnsi="宋体" w:cs="宋体"/>
                <w:szCs w:val="21"/>
              </w:rPr>
              <w:t>供应商提出问题的截止时间</w:t>
            </w:r>
          </w:p>
        </w:tc>
        <w:tc>
          <w:tcPr>
            <w:tcW w:w="6478" w:type="dxa"/>
            <w:gridSpan w:val="2"/>
            <w:vAlign w:val="center"/>
          </w:tcPr>
          <w:p>
            <w:pPr>
              <w:spacing w:line="320" w:lineRule="exact"/>
              <w:jc w:val="left"/>
              <w:rPr>
                <w:rFonts w:ascii="宋体"/>
                <w:b/>
                <w:bCs/>
                <w:szCs w:val="21"/>
              </w:rPr>
            </w:pPr>
            <w:r>
              <w:rPr>
                <w:rFonts w:hint="eastAsia" w:ascii="宋体" w:hAnsi="宋体" w:cs="宋体"/>
                <w:szCs w:val="21"/>
              </w:rPr>
              <w:t>投标截止时间</w:t>
            </w:r>
            <w:r>
              <w:rPr>
                <w:rFonts w:ascii="宋体" w:hAnsi="宋体" w:cs="宋体"/>
                <w:szCs w:val="21"/>
              </w:rPr>
              <w:t>15</w:t>
            </w:r>
            <w:r>
              <w:rPr>
                <w:rFonts w:hint="eastAsia" w:ascii="宋体" w:hAnsi="宋体" w:cs="宋体"/>
                <w:szCs w:val="21"/>
              </w:rPr>
              <w:t>日前，在电子交易系统中提出。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35" w:type="dxa"/>
            <w:vAlign w:val="center"/>
          </w:tcPr>
          <w:p>
            <w:pPr>
              <w:spacing w:line="420" w:lineRule="exact"/>
              <w:jc w:val="center"/>
              <w:rPr>
                <w:rFonts w:ascii="宋体"/>
                <w:szCs w:val="21"/>
              </w:rPr>
            </w:pPr>
            <w:r>
              <w:rPr>
                <w:rFonts w:hint="eastAsia" w:ascii="宋体" w:hAnsi="宋体"/>
                <w:szCs w:val="21"/>
              </w:rPr>
              <w:t>12</w:t>
            </w:r>
          </w:p>
        </w:tc>
        <w:tc>
          <w:tcPr>
            <w:tcW w:w="1926" w:type="dxa"/>
            <w:vAlign w:val="center"/>
          </w:tcPr>
          <w:p>
            <w:pPr>
              <w:spacing w:line="320" w:lineRule="exact"/>
              <w:jc w:val="center"/>
              <w:rPr>
                <w:rFonts w:ascii="宋体"/>
                <w:szCs w:val="21"/>
              </w:rPr>
            </w:pPr>
            <w:r>
              <w:rPr>
                <w:rFonts w:hint="eastAsia" w:ascii="宋体" w:hAnsi="宋体" w:cs="宋体"/>
                <w:szCs w:val="21"/>
              </w:rPr>
              <w:t>招标人澄清的时间</w:t>
            </w:r>
          </w:p>
        </w:tc>
        <w:tc>
          <w:tcPr>
            <w:tcW w:w="6478" w:type="dxa"/>
            <w:gridSpan w:val="2"/>
            <w:vAlign w:val="center"/>
          </w:tcPr>
          <w:p>
            <w:pPr>
              <w:spacing w:line="320" w:lineRule="exact"/>
              <w:jc w:val="left"/>
              <w:rPr>
                <w:rFonts w:ascii="宋体"/>
                <w:b/>
                <w:bCs/>
                <w:szCs w:val="21"/>
              </w:rPr>
            </w:pPr>
            <w:r>
              <w:rPr>
                <w:rFonts w:hint="eastAsia" w:ascii="宋体" w:hAnsi="宋体" w:cs="宋体"/>
                <w:szCs w:val="21"/>
              </w:rPr>
              <w:t>投标截止时间</w:t>
            </w:r>
            <w:r>
              <w:rPr>
                <w:rFonts w:ascii="宋体" w:hAnsi="宋体" w:cs="宋体"/>
                <w:szCs w:val="21"/>
              </w:rPr>
              <w:t>15</w:t>
            </w:r>
            <w:r>
              <w:rPr>
                <w:rFonts w:hint="eastAsia" w:ascii="宋体" w:hAnsi="宋体" w:cs="宋体"/>
                <w:szCs w:val="21"/>
              </w:rPr>
              <w:t>日前，在电子交易系统中提出发布。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35" w:type="dxa"/>
            <w:vAlign w:val="center"/>
          </w:tcPr>
          <w:p>
            <w:pPr>
              <w:spacing w:line="420" w:lineRule="exact"/>
              <w:jc w:val="center"/>
              <w:rPr>
                <w:rFonts w:ascii="宋体"/>
                <w:szCs w:val="21"/>
              </w:rPr>
            </w:pPr>
            <w:r>
              <w:rPr>
                <w:rFonts w:hint="eastAsia" w:ascii="宋体" w:hAnsi="宋体"/>
                <w:szCs w:val="21"/>
              </w:rPr>
              <w:t>13</w:t>
            </w:r>
          </w:p>
        </w:tc>
        <w:tc>
          <w:tcPr>
            <w:tcW w:w="1926" w:type="dxa"/>
            <w:vAlign w:val="center"/>
          </w:tcPr>
          <w:p>
            <w:pPr>
              <w:spacing w:line="320" w:lineRule="exact"/>
              <w:jc w:val="center"/>
              <w:rPr>
                <w:rFonts w:ascii="宋体"/>
                <w:szCs w:val="21"/>
              </w:rPr>
            </w:pPr>
            <w:r>
              <w:rPr>
                <w:rFonts w:hint="eastAsia" w:ascii="宋体" w:hAnsi="宋体" w:cs="宋体"/>
                <w:szCs w:val="21"/>
              </w:rPr>
              <w:t>构成投标文件的其他材料</w:t>
            </w:r>
          </w:p>
        </w:tc>
        <w:tc>
          <w:tcPr>
            <w:tcW w:w="6478" w:type="dxa"/>
            <w:gridSpan w:val="2"/>
            <w:vAlign w:val="center"/>
          </w:tcPr>
          <w:p>
            <w:pPr>
              <w:spacing w:line="320" w:lineRule="exact"/>
              <w:jc w:val="left"/>
              <w:rPr>
                <w:rFonts w:ascii="宋体"/>
                <w:b/>
                <w:bCs/>
                <w:szCs w:val="21"/>
              </w:rPr>
            </w:pPr>
            <w:r>
              <w:rPr>
                <w:rFonts w:hint="eastAsia" w:ascii="宋体" w:hAnsi="宋体" w:cs="宋体"/>
                <w:szCs w:val="21"/>
              </w:rPr>
              <w:t>供应商认为有必要的其他资料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35" w:type="dxa"/>
            <w:vAlign w:val="center"/>
          </w:tcPr>
          <w:p>
            <w:pPr>
              <w:spacing w:line="420" w:lineRule="exact"/>
              <w:jc w:val="center"/>
              <w:rPr>
                <w:rFonts w:ascii="宋体"/>
                <w:szCs w:val="21"/>
              </w:rPr>
            </w:pPr>
            <w:r>
              <w:rPr>
                <w:rFonts w:hint="eastAsia" w:ascii="宋体" w:hAnsi="宋体"/>
                <w:szCs w:val="21"/>
              </w:rPr>
              <w:t>14</w:t>
            </w:r>
          </w:p>
        </w:tc>
        <w:tc>
          <w:tcPr>
            <w:tcW w:w="1926" w:type="dxa"/>
            <w:vAlign w:val="center"/>
          </w:tcPr>
          <w:p>
            <w:pPr>
              <w:spacing w:line="420" w:lineRule="exact"/>
              <w:jc w:val="center"/>
              <w:rPr>
                <w:rFonts w:ascii="宋体"/>
                <w:szCs w:val="21"/>
              </w:rPr>
            </w:pPr>
            <w:r>
              <w:rPr>
                <w:rFonts w:hint="eastAsia" w:ascii="宋体" w:hAnsi="宋体"/>
                <w:szCs w:val="21"/>
              </w:rPr>
              <w:t>投标有效期</w:t>
            </w:r>
          </w:p>
        </w:tc>
        <w:tc>
          <w:tcPr>
            <w:tcW w:w="6478" w:type="dxa"/>
            <w:gridSpan w:val="2"/>
            <w:vAlign w:val="center"/>
          </w:tcPr>
          <w:p>
            <w:pPr>
              <w:spacing w:line="400" w:lineRule="exact"/>
              <w:jc w:val="left"/>
              <w:rPr>
                <w:rFonts w:ascii="宋体"/>
                <w:szCs w:val="21"/>
              </w:rPr>
            </w:pPr>
            <w:r>
              <w:rPr>
                <w:rFonts w:hint="eastAsia" w:ascii="宋体" w:hAnsi="宋体"/>
                <w:szCs w:val="21"/>
              </w:rPr>
              <w:t>60日历天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35" w:type="dxa"/>
            <w:vAlign w:val="center"/>
          </w:tcPr>
          <w:p>
            <w:pPr>
              <w:spacing w:line="420" w:lineRule="exact"/>
              <w:jc w:val="center"/>
              <w:rPr>
                <w:rFonts w:ascii="宋体"/>
                <w:szCs w:val="21"/>
              </w:rPr>
            </w:pPr>
            <w:r>
              <w:rPr>
                <w:rFonts w:hint="eastAsia" w:ascii="宋体" w:hAnsi="宋体"/>
                <w:szCs w:val="21"/>
              </w:rPr>
              <w:t>15</w:t>
            </w:r>
          </w:p>
        </w:tc>
        <w:tc>
          <w:tcPr>
            <w:tcW w:w="1926" w:type="dxa"/>
            <w:vAlign w:val="center"/>
          </w:tcPr>
          <w:p>
            <w:pPr>
              <w:spacing w:line="420" w:lineRule="exact"/>
              <w:jc w:val="center"/>
              <w:rPr>
                <w:rFonts w:ascii="宋体"/>
                <w:szCs w:val="21"/>
              </w:rPr>
            </w:pPr>
            <w:r>
              <w:rPr>
                <w:rFonts w:hint="eastAsia" w:ascii="宋体" w:hAnsi="宋体"/>
                <w:szCs w:val="21"/>
              </w:rPr>
              <w:t>投标保证金</w:t>
            </w:r>
          </w:p>
        </w:tc>
        <w:tc>
          <w:tcPr>
            <w:tcW w:w="6478" w:type="dxa"/>
            <w:gridSpan w:val="2"/>
            <w:vAlign w:val="center"/>
          </w:tcPr>
          <w:p>
            <w:pPr>
              <w:spacing w:line="380" w:lineRule="exact"/>
              <w:rPr>
                <w:rFonts w:hAnsi="宋体"/>
                <w:b/>
                <w:snapToGrid w:val="0"/>
                <w:szCs w:val="21"/>
              </w:rPr>
            </w:pPr>
            <w:r>
              <w:rPr>
                <w:rFonts w:hint="eastAsia" w:ascii="宋体" w:hAnsi="宋体" w:cs="宋体"/>
                <w:szCs w:val="21"/>
              </w:rPr>
              <w:t>不收取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835" w:type="dxa"/>
            <w:vAlign w:val="center"/>
          </w:tcPr>
          <w:p>
            <w:pPr>
              <w:spacing w:line="420" w:lineRule="exact"/>
              <w:jc w:val="center"/>
              <w:rPr>
                <w:rFonts w:ascii="宋体"/>
                <w:szCs w:val="21"/>
              </w:rPr>
            </w:pPr>
            <w:r>
              <w:rPr>
                <w:rFonts w:hint="eastAsia" w:ascii="宋体" w:hAnsi="宋体"/>
                <w:szCs w:val="21"/>
              </w:rPr>
              <w:t>16</w:t>
            </w:r>
          </w:p>
        </w:tc>
        <w:tc>
          <w:tcPr>
            <w:tcW w:w="1926" w:type="dxa"/>
            <w:vAlign w:val="center"/>
          </w:tcPr>
          <w:p>
            <w:pPr>
              <w:spacing w:line="420" w:lineRule="exact"/>
              <w:jc w:val="center"/>
              <w:rPr>
                <w:rFonts w:ascii="宋体"/>
                <w:szCs w:val="21"/>
              </w:rPr>
            </w:pPr>
            <w:r>
              <w:rPr>
                <w:rFonts w:hint="eastAsia" w:ascii="宋体" w:hAnsi="宋体"/>
                <w:szCs w:val="21"/>
              </w:rPr>
              <w:t>签字和（或）</w:t>
            </w:r>
          </w:p>
          <w:p>
            <w:pPr>
              <w:spacing w:line="420" w:lineRule="exact"/>
              <w:jc w:val="center"/>
              <w:rPr>
                <w:rFonts w:ascii="宋体"/>
                <w:szCs w:val="21"/>
              </w:rPr>
            </w:pPr>
            <w:r>
              <w:rPr>
                <w:rFonts w:hint="eastAsia" w:ascii="宋体" w:hAnsi="宋体"/>
                <w:szCs w:val="21"/>
              </w:rPr>
              <w:t>盖章要求</w:t>
            </w:r>
          </w:p>
        </w:tc>
        <w:tc>
          <w:tcPr>
            <w:tcW w:w="6478" w:type="dxa"/>
            <w:gridSpan w:val="2"/>
            <w:vAlign w:val="center"/>
          </w:tcPr>
          <w:p>
            <w:pPr>
              <w:spacing w:line="400" w:lineRule="exact"/>
              <w:rPr>
                <w:rFonts w:ascii="宋体" w:hAnsi="宋体"/>
                <w:szCs w:val="21"/>
              </w:rPr>
            </w:pPr>
            <w:r>
              <w:rPr>
                <w:rFonts w:hint="eastAsia" w:ascii="宋体" w:hAnsi="宋体"/>
                <w:szCs w:val="21"/>
              </w:rPr>
              <w:t>采购文件规定的投标文件格式中所有签字盖章的地方必须按采购文</w:t>
            </w:r>
          </w:p>
          <w:p>
            <w:pPr>
              <w:spacing w:line="400" w:lineRule="exact"/>
              <w:rPr>
                <w:rFonts w:ascii="宋体"/>
                <w:szCs w:val="21"/>
              </w:rPr>
            </w:pPr>
            <w:r>
              <w:rPr>
                <w:rFonts w:hint="eastAsia" w:ascii="宋体" w:hAnsi="宋体"/>
                <w:szCs w:val="21"/>
              </w:rPr>
              <w:t>件明示的方式签字或盖章（或电子签章）。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35" w:type="dxa"/>
            <w:vAlign w:val="center"/>
          </w:tcPr>
          <w:p>
            <w:pPr>
              <w:spacing w:line="420" w:lineRule="exact"/>
              <w:jc w:val="center"/>
              <w:rPr>
                <w:rFonts w:ascii="宋体"/>
                <w:color w:val="000000"/>
                <w:szCs w:val="21"/>
              </w:rPr>
            </w:pPr>
            <w:r>
              <w:rPr>
                <w:rFonts w:hint="eastAsia" w:ascii="宋体" w:hAnsi="宋体"/>
                <w:color w:val="000000"/>
                <w:szCs w:val="21"/>
              </w:rPr>
              <w:t>17</w:t>
            </w:r>
          </w:p>
        </w:tc>
        <w:tc>
          <w:tcPr>
            <w:tcW w:w="1926" w:type="dxa"/>
            <w:vAlign w:val="center"/>
          </w:tcPr>
          <w:p>
            <w:pPr>
              <w:spacing w:line="420" w:lineRule="exact"/>
              <w:jc w:val="center"/>
              <w:rPr>
                <w:rFonts w:ascii="宋体"/>
                <w:color w:val="000000"/>
                <w:szCs w:val="21"/>
              </w:rPr>
            </w:pPr>
            <w:r>
              <w:rPr>
                <w:rFonts w:hint="eastAsia" w:ascii="宋体" w:hAnsi="宋体"/>
                <w:color w:val="000000"/>
                <w:szCs w:val="21"/>
              </w:rPr>
              <w:t>投标文件</w:t>
            </w:r>
          </w:p>
        </w:tc>
        <w:tc>
          <w:tcPr>
            <w:tcW w:w="6478" w:type="dxa"/>
            <w:gridSpan w:val="2"/>
            <w:vAlign w:val="center"/>
          </w:tcPr>
          <w:p>
            <w:pPr>
              <w:spacing w:line="400" w:lineRule="exact"/>
              <w:rPr>
                <w:rFonts w:ascii="宋体"/>
                <w:color w:val="000000"/>
                <w:szCs w:val="21"/>
              </w:rPr>
            </w:pPr>
            <w:r>
              <w:rPr>
                <w:rFonts w:hint="eastAsia" w:ascii="宋体" w:hAnsi="宋体"/>
                <w:color w:val="000000"/>
                <w:szCs w:val="21"/>
              </w:rPr>
              <w:t>一份密封可读 pdf 格式电子文档（U 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35" w:type="dxa"/>
            <w:vAlign w:val="center"/>
          </w:tcPr>
          <w:p>
            <w:pPr>
              <w:spacing w:line="420" w:lineRule="exact"/>
              <w:jc w:val="center"/>
              <w:rPr>
                <w:rFonts w:ascii="宋体"/>
                <w:szCs w:val="21"/>
              </w:rPr>
            </w:pPr>
            <w:r>
              <w:rPr>
                <w:rFonts w:hint="eastAsia" w:ascii="宋体" w:hAnsi="宋体"/>
                <w:szCs w:val="21"/>
              </w:rPr>
              <w:t>18</w:t>
            </w:r>
          </w:p>
        </w:tc>
        <w:tc>
          <w:tcPr>
            <w:tcW w:w="1926" w:type="dxa"/>
            <w:vAlign w:val="center"/>
          </w:tcPr>
          <w:p>
            <w:pPr>
              <w:spacing w:line="420" w:lineRule="exact"/>
              <w:jc w:val="center"/>
              <w:rPr>
                <w:rFonts w:ascii="宋体"/>
                <w:szCs w:val="21"/>
              </w:rPr>
            </w:pPr>
            <w:r>
              <w:rPr>
                <w:rFonts w:hint="eastAsia" w:ascii="宋体"/>
                <w:szCs w:val="21"/>
              </w:rPr>
              <w:t>备选方案</w:t>
            </w:r>
          </w:p>
        </w:tc>
        <w:tc>
          <w:tcPr>
            <w:tcW w:w="6478" w:type="dxa"/>
            <w:gridSpan w:val="2"/>
            <w:vAlign w:val="center"/>
          </w:tcPr>
          <w:p>
            <w:pPr>
              <w:spacing w:line="400" w:lineRule="exact"/>
              <w:rPr>
                <w:rFonts w:ascii="宋体"/>
                <w:snapToGrid w:val="0"/>
                <w:kern w:val="0"/>
                <w:szCs w:val="21"/>
              </w:rPr>
            </w:pPr>
            <w:r>
              <w:rPr>
                <w:rFonts w:hint="eastAsia" w:ascii="宋体"/>
                <w:snapToGrid w:val="0"/>
                <w:kern w:val="0"/>
                <w:szCs w:val="21"/>
              </w:rPr>
              <w:t>不接收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835" w:type="dxa"/>
            <w:vAlign w:val="center"/>
          </w:tcPr>
          <w:p>
            <w:pPr>
              <w:spacing w:line="420" w:lineRule="exact"/>
              <w:jc w:val="center"/>
              <w:rPr>
                <w:rFonts w:ascii="宋体"/>
                <w:szCs w:val="21"/>
              </w:rPr>
            </w:pPr>
            <w:r>
              <w:rPr>
                <w:rFonts w:hint="eastAsia" w:ascii="宋体" w:hAnsi="宋体"/>
                <w:szCs w:val="21"/>
              </w:rPr>
              <w:t>19</w:t>
            </w:r>
          </w:p>
        </w:tc>
        <w:tc>
          <w:tcPr>
            <w:tcW w:w="1926" w:type="dxa"/>
            <w:vAlign w:val="center"/>
          </w:tcPr>
          <w:p>
            <w:pPr>
              <w:spacing w:line="420" w:lineRule="exact"/>
              <w:jc w:val="center"/>
              <w:rPr>
                <w:rFonts w:ascii="宋体"/>
                <w:szCs w:val="21"/>
              </w:rPr>
            </w:pPr>
            <w:r>
              <w:rPr>
                <w:rFonts w:hint="eastAsia" w:ascii="宋体" w:hAnsi="宋体"/>
                <w:szCs w:val="21"/>
              </w:rPr>
              <w:t>电子文档封套上应载明的信息</w:t>
            </w:r>
          </w:p>
        </w:tc>
        <w:tc>
          <w:tcPr>
            <w:tcW w:w="6478" w:type="dxa"/>
            <w:gridSpan w:val="2"/>
            <w:vAlign w:val="center"/>
          </w:tcPr>
          <w:p>
            <w:pPr>
              <w:spacing w:line="440" w:lineRule="exact"/>
              <w:rPr>
                <w:rFonts w:ascii="宋体" w:hAnsi="宋体"/>
                <w:szCs w:val="21"/>
                <w:shd w:val="clear" w:color="auto" w:fill="FFFFFF"/>
              </w:rPr>
            </w:pPr>
            <w:r>
              <w:rPr>
                <w:rFonts w:hint="eastAsia" w:ascii="宋体" w:hAnsi="宋体"/>
                <w:szCs w:val="21"/>
                <w:shd w:val="clear" w:color="auto" w:fill="FFFFFF"/>
              </w:rPr>
              <w:t>采购人名称：</w:t>
            </w:r>
          </w:p>
          <w:p>
            <w:pPr>
              <w:spacing w:line="440" w:lineRule="exact"/>
              <w:rPr>
                <w:rFonts w:ascii="宋体" w:hAnsi="宋体"/>
                <w:szCs w:val="21"/>
                <w:shd w:val="clear" w:color="auto" w:fill="FFFFFF"/>
              </w:rPr>
            </w:pPr>
            <w:r>
              <w:rPr>
                <w:rFonts w:hint="eastAsia" w:ascii="宋体" w:hAnsi="宋体"/>
                <w:szCs w:val="21"/>
                <w:shd w:val="clear" w:color="auto" w:fill="FFFFFF"/>
              </w:rPr>
              <w:t>项目名称：</w:t>
            </w:r>
          </w:p>
          <w:p>
            <w:pPr>
              <w:spacing w:line="440" w:lineRule="exact"/>
              <w:rPr>
                <w:rFonts w:ascii="宋体" w:hAnsi="宋体"/>
                <w:szCs w:val="21"/>
                <w:shd w:val="clear" w:color="auto" w:fill="FFFFFF"/>
              </w:rPr>
            </w:pPr>
            <w:r>
              <w:rPr>
                <w:rFonts w:hint="eastAsia" w:ascii="宋体" w:hAnsi="宋体"/>
                <w:szCs w:val="21"/>
                <w:shd w:val="clear" w:color="auto" w:fill="FFFFFF"/>
              </w:rPr>
              <w:t>采购编号：</w:t>
            </w:r>
          </w:p>
          <w:p>
            <w:pPr>
              <w:spacing w:line="440" w:lineRule="exact"/>
              <w:rPr>
                <w:rFonts w:ascii="宋体" w:hAnsi="宋体"/>
                <w:szCs w:val="21"/>
                <w:shd w:val="clear" w:color="auto" w:fill="FFFFFF"/>
              </w:rPr>
            </w:pPr>
            <w:r>
              <w:rPr>
                <w:rFonts w:hint="eastAsia" w:ascii="宋体" w:hAnsi="宋体"/>
                <w:szCs w:val="21"/>
                <w:shd w:val="clear" w:color="auto" w:fill="FFFFFF"/>
              </w:rPr>
              <w:t>供应商：（全称）</w:t>
            </w:r>
          </w:p>
          <w:p>
            <w:pPr>
              <w:spacing w:line="440" w:lineRule="exact"/>
              <w:rPr>
                <w:rFonts w:ascii="宋体" w:hAnsi="宋体"/>
                <w:szCs w:val="21"/>
                <w:shd w:val="clear" w:color="auto" w:fill="FFFFFF"/>
              </w:rPr>
            </w:pPr>
            <w:r>
              <w:rPr>
                <w:rFonts w:hint="eastAsia" w:ascii="宋体" w:hAnsi="宋体"/>
                <w:szCs w:val="21"/>
                <w:shd w:val="clear" w:color="auto" w:fill="FFFFFF"/>
              </w:rPr>
              <w:t>供应商地址：</w:t>
            </w:r>
          </w:p>
          <w:p>
            <w:pPr>
              <w:spacing w:line="440" w:lineRule="exact"/>
              <w:rPr>
                <w:rFonts w:ascii="宋体"/>
                <w:szCs w:val="21"/>
              </w:rPr>
            </w:pPr>
            <w:r>
              <w:rPr>
                <w:rFonts w:hint="eastAsia" w:ascii="宋体" w:hAnsi="宋体"/>
                <w:szCs w:val="21"/>
              </w:rPr>
              <w:t>在   年   月  日  时  分前不得开启(投标截至时间)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35" w:type="dxa"/>
            <w:vAlign w:val="center"/>
          </w:tcPr>
          <w:p>
            <w:pPr>
              <w:spacing w:line="420" w:lineRule="exact"/>
              <w:jc w:val="center"/>
              <w:rPr>
                <w:rFonts w:ascii="宋体"/>
                <w:szCs w:val="21"/>
              </w:rPr>
            </w:pPr>
            <w:r>
              <w:rPr>
                <w:rFonts w:hint="eastAsia" w:ascii="宋体" w:hAnsi="宋体"/>
                <w:szCs w:val="21"/>
              </w:rPr>
              <w:t>20</w:t>
            </w:r>
          </w:p>
        </w:tc>
        <w:tc>
          <w:tcPr>
            <w:tcW w:w="1926" w:type="dxa"/>
            <w:vAlign w:val="center"/>
          </w:tcPr>
          <w:p>
            <w:pPr>
              <w:jc w:val="center"/>
              <w:rPr>
                <w:rFonts w:ascii="宋体"/>
                <w:szCs w:val="21"/>
              </w:rPr>
            </w:pPr>
            <w:r>
              <w:rPr>
                <w:rFonts w:hint="eastAsia" w:ascii="宋体" w:hAnsi="宋体"/>
                <w:szCs w:val="21"/>
              </w:rPr>
              <w:t>递交投标文件地点</w:t>
            </w:r>
          </w:p>
        </w:tc>
        <w:tc>
          <w:tcPr>
            <w:tcW w:w="6478" w:type="dxa"/>
            <w:gridSpan w:val="2"/>
            <w:vAlign w:val="center"/>
          </w:tcPr>
          <w:p>
            <w:pPr>
              <w:spacing w:before="156" w:beforeLines="50"/>
              <w:rPr>
                <w:rFonts w:ascii="宋体"/>
                <w:szCs w:val="21"/>
              </w:rPr>
            </w:pPr>
            <w:r>
              <w:rPr>
                <w:rFonts w:hint="eastAsia" w:ascii="宋体" w:hAnsi="宋体"/>
                <w:szCs w:val="21"/>
              </w:rPr>
              <w:t>平顶山市公共资源交易中心（平顶山市行政综合楼七楼）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35" w:type="dxa"/>
            <w:vAlign w:val="center"/>
          </w:tcPr>
          <w:p>
            <w:pPr>
              <w:spacing w:line="420" w:lineRule="exact"/>
              <w:jc w:val="center"/>
              <w:rPr>
                <w:rFonts w:ascii="宋体"/>
                <w:szCs w:val="21"/>
              </w:rPr>
            </w:pPr>
            <w:r>
              <w:rPr>
                <w:rFonts w:hint="eastAsia" w:ascii="宋体" w:hAnsi="宋体"/>
                <w:szCs w:val="21"/>
              </w:rPr>
              <w:t>21</w:t>
            </w:r>
          </w:p>
        </w:tc>
        <w:tc>
          <w:tcPr>
            <w:tcW w:w="1926" w:type="dxa"/>
            <w:vAlign w:val="center"/>
          </w:tcPr>
          <w:p>
            <w:pPr>
              <w:spacing w:line="420" w:lineRule="exact"/>
              <w:jc w:val="center"/>
              <w:rPr>
                <w:rFonts w:ascii="宋体"/>
                <w:szCs w:val="21"/>
              </w:rPr>
            </w:pPr>
            <w:r>
              <w:rPr>
                <w:rFonts w:hint="eastAsia" w:ascii="宋体" w:hAnsi="宋体"/>
                <w:szCs w:val="21"/>
              </w:rPr>
              <w:t>是否退还投标文件</w:t>
            </w:r>
          </w:p>
        </w:tc>
        <w:tc>
          <w:tcPr>
            <w:tcW w:w="6478" w:type="dxa"/>
            <w:gridSpan w:val="2"/>
            <w:vAlign w:val="center"/>
          </w:tcPr>
          <w:p>
            <w:pPr>
              <w:spacing w:line="420" w:lineRule="exact"/>
              <w:rPr>
                <w:rFonts w:asci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835" w:type="dxa"/>
            <w:vAlign w:val="center"/>
          </w:tcPr>
          <w:p>
            <w:pPr>
              <w:spacing w:line="420" w:lineRule="exact"/>
              <w:jc w:val="center"/>
              <w:rPr>
                <w:rFonts w:ascii="宋体"/>
                <w:szCs w:val="21"/>
              </w:rPr>
            </w:pPr>
            <w:r>
              <w:rPr>
                <w:rFonts w:ascii="宋体" w:hAnsi="宋体"/>
                <w:szCs w:val="21"/>
              </w:rPr>
              <w:t>2</w:t>
            </w:r>
            <w:r>
              <w:rPr>
                <w:rFonts w:hint="eastAsia" w:ascii="宋体" w:hAnsi="宋体"/>
                <w:szCs w:val="21"/>
              </w:rPr>
              <w:t>2</w:t>
            </w:r>
          </w:p>
        </w:tc>
        <w:tc>
          <w:tcPr>
            <w:tcW w:w="1926" w:type="dxa"/>
            <w:vAlign w:val="center"/>
          </w:tcPr>
          <w:p>
            <w:pPr>
              <w:spacing w:line="420" w:lineRule="exact"/>
              <w:jc w:val="center"/>
              <w:rPr>
                <w:rFonts w:ascii="宋体" w:hAnsi="宋体" w:cs="宋体"/>
                <w:bCs/>
                <w:szCs w:val="21"/>
              </w:rPr>
            </w:pPr>
            <w:r>
              <w:rPr>
                <w:rFonts w:hint="eastAsia" w:ascii="宋体" w:hAnsi="宋体" w:cs="宋体"/>
                <w:bCs/>
                <w:szCs w:val="21"/>
              </w:rPr>
              <w:t>开标时间和地点</w:t>
            </w:r>
          </w:p>
        </w:tc>
        <w:tc>
          <w:tcPr>
            <w:tcW w:w="6478" w:type="dxa"/>
            <w:gridSpan w:val="2"/>
            <w:vAlign w:val="center"/>
          </w:tcPr>
          <w:p>
            <w:pPr>
              <w:spacing w:line="420" w:lineRule="exact"/>
              <w:rPr>
                <w:rFonts w:ascii="宋体" w:hAnsi="宋体" w:cs="宋体"/>
                <w:bCs/>
                <w:szCs w:val="21"/>
              </w:rPr>
            </w:pPr>
            <w:r>
              <w:rPr>
                <w:rFonts w:hint="eastAsia" w:ascii="宋体" w:hAnsi="宋体" w:cs="宋体"/>
                <w:bCs/>
                <w:szCs w:val="21"/>
              </w:rPr>
              <w:t>开标时间：2019年</w:t>
            </w:r>
            <w:r>
              <w:rPr>
                <w:rFonts w:hint="eastAsia" w:ascii="宋体" w:hAnsi="宋体" w:cs="宋体"/>
                <w:bCs/>
                <w:szCs w:val="21"/>
                <w:lang w:val="en-US" w:eastAsia="zh-CN"/>
              </w:rPr>
              <w:t>12</w:t>
            </w:r>
            <w:r>
              <w:rPr>
                <w:rFonts w:hint="eastAsia" w:ascii="宋体" w:hAnsi="宋体" w:cs="宋体"/>
                <w:bCs/>
                <w:szCs w:val="21"/>
              </w:rPr>
              <w:t>月</w:t>
            </w:r>
            <w:r>
              <w:rPr>
                <w:rFonts w:hint="eastAsia" w:ascii="宋体" w:hAnsi="宋体" w:cs="宋体"/>
                <w:bCs/>
                <w:szCs w:val="21"/>
                <w:lang w:val="en-US" w:eastAsia="zh-CN"/>
              </w:rPr>
              <w:t>12</w:t>
            </w:r>
            <w:r>
              <w:rPr>
                <w:rFonts w:hint="eastAsia" w:ascii="宋体" w:hAnsi="宋体" w:cs="宋体"/>
                <w:bCs/>
                <w:szCs w:val="21"/>
              </w:rPr>
              <w:t>日</w:t>
            </w:r>
            <w:r>
              <w:rPr>
                <w:rFonts w:hint="eastAsia" w:ascii="宋体" w:hAnsi="宋体" w:cs="宋体"/>
                <w:bCs/>
                <w:szCs w:val="21"/>
                <w:lang w:val="en-US" w:eastAsia="zh-CN"/>
              </w:rPr>
              <w:t>10</w:t>
            </w:r>
            <w:r>
              <w:rPr>
                <w:rFonts w:hint="eastAsia" w:ascii="宋体" w:hAnsi="宋体" w:cs="宋体"/>
                <w:bCs/>
                <w:szCs w:val="21"/>
              </w:rPr>
              <w:t>时</w:t>
            </w:r>
            <w:r>
              <w:rPr>
                <w:rFonts w:hint="eastAsia" w:ascii="宋体" w:hAnsi="宋体" w:cs="宋体"/>
                <w:bCs/>
                <w:szCs w:val="21"/>
                <w:lang w:val="en-US" w:eastAsia="zh-CN"/>
              </w:rPr>
              <w:t>00</w:t>
            </w:r>
            <w:r>
              <w:rPr>
                <w:rFonts w:hint="eastAsia" w:ascii="宋体" w:hAnsi="宋体" w:cs="宋体"/>
                <w:bCs/>
                <w:szCs w:val="21"/>
              </w:rPr>
              <w:t>分(北京时间）</w:t>
            </w:r>
          </w:p>
          <w:p>
            <w:pPr>
              <w:spacing w:line="420" w:lineRule="exact"/>
              <w:rPr>
                <w:rFonts w:ascii="宋体" w:hAnsi="宋体" w:cs="宋体"/>
                <w:bCs/>
                <w:szCs w:val="21"/>
              </w:rPr>
            </w:pPr>
            <w:r>
              <w:rPr>
                <w:rFonts w:hint="eastAsia" w:ascii="宋体" w:hAnsi="宋体" w:cs="宋体"/>
                <w:bCs/>
                <w:szCs w:val="21"/>
              </w:rPr>
              <w:t>开标地点：平顶山市公共资源交易中心（平顶山市行政综合楼七楼）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5" w:type="dxa"/>
            <w:vAlign w:val="center"/>
          </w:tcPr>
          <w:p>
            <w:pPr>
              <w:spacing w:line="420" w:lineRule="exact"/>
              <w:jc w:val="center"/>
              <w:rPr>
                <w:rFonts w:ascii="宋体"/>
                <w:szCs w:val="21"/>
              </w:rPr>
            </w:pPr>
            <w:r>
              <w:rPr>
                <w:rFonts w:ascii="宋体" w:hAnsi="宋体"/>
                <w:szCs w:val="21"/>
              </w:rPr>
              <w:t>2</w:t>
            </w:r>
            <w:r>
              <w:rPr>
                <w:rFonts w:hint="eastAsia" w:ascii="宋体" w:hAnsi="宋体"/>
                <w:szCs w:val="21"/>
              </w:rPr>
              <w:t>3</w:t>
            </w:r>
          </w:p>
        </w:tc>
        <w:tc>
          <w:tcPr>
            <w:tcW w:w="1926" w:type="dxa"/>
            <w:vAlign w:val="center"/>
          </w:tcPr>
          <w:p>
            <w:pPr>
              <w:spacing w:line="420" w:lineRule="exact"/>
              <w:jc w:val="center"/>
              <w:rPr>
                <w:rFonts w:ascii="宋体"/>
                <w:szCs w:val="21"/>
              </w:rPr>
            </w:pPr>
            <w:r>
              <w:rPr>
                <w:rFonts w:hint="eastAsia" w:ascii="宋体" w:hAnsi="宋体"/>
                <w:szCs w:val="21"/>
              </w:rPr>
              <w:t>开标程序</w:t>
            </w:r>
          </w:p>
        </w:tc>
        <w:tc>
          <w:tcPr>
            <w:tcW w:w="6478" w:type="dxa"/>
            <w:gridSpan w:val="2"/>
            <w:vAlign w:val="center"/>
          </w:tcPr>
          <w:p>
            <w:pPr>
              <w:spacing w:line="420" w:lineRule="exact"/>
              <w:rPr>
                <w:szCs w:val="21"/>
              </w:rPr>
            </w:pPr>
            <w:r>
              <w:rPr>
                <w:rFonts w:hint="eastAsia"/>
                <w:szCs w:val="21"/>
              </w:rPr>
              <w:t>（</w:t>
            </w:r>
            <w:r>
              <w:rPr>
                <w:szCs w:val="21"/>
              </w:rPr>
              <w:t>1</w:t>
            </w:r>
            <w:r>
              <w:rPr>
                <w:rFonts w:hint="eastAsia"/>
                <w:szCs w:val="21"/>
              </w:rPr>
              <w:t>）宣布开标纪律；（</w:t>
            </w:r>
            <w:r>
              <w:rPr>
                <w:szCs w:val="21"/>
              </w:rPr>
              <w:t>2</w:t>
            </w:r>
            <w:r>
              <w:rPr>
                <w:rFonts w:hint="eastAsia"/>
                <w:szCs w:val="21"/>
              </w:rPr>
              <w:t>）公布在投标截止时间前递交投标文件的供应商名称；（</w:t>
            </w:r>
            <w:r>
              <w:rPr>
                <w:szCs w:val="21"/>
              </w:rPr>
              <w:t>3</w:t>
            </w:r>
            <w:r>
              <w:rPr>
                <w:rFonts w:hint="eastAsia"/>
                <w:szCs w:val="21"/>
              </w:rPr>
              <w:t>）宣布招标人、监标人等有关人员姓名；（</w:t>
            </w:r>
            <w:r>
              <w:rPr>
                <w:szCs w:val="21"/>
              </w:rPr>
              <w:t>4</w:t>
            </w:r>
            <w:r>
              <w:rPr>
                <w:rFonts w:hint="eastAsia"/>
                <w:szCs w:val="21"/>
              </w:rPr>
              <w:t>）密封情况检查；（</w:t>
            </w:r>
            <w:r>
              <w:rPr>
                <w:szCs w:val="21"/>
              </w:rPr>
              <w:t>5</w:t>
            </w:r>
            <w:r>
              <w:rPr>
                <w:rFonts w:hint="eastAsia"/>
                <w:szCs w:val="21"/>
              </w:rPr>
              <w:t>）按投标文件递交的逆顺序解密唱标，并记录在案；（</w:t>
            </w:r>
            <w:r>
              <w:rPr>
                <w:szCs w:val="21"/>
              </w:rPr>
              <w:t>6</w:t>
            </w:r>
            <w:r>
              <w:rPr>
                <w:rFonts w:hint="eastAsia"/>
                <w:szCs w:val="21"/>
              </w:rPr>
              <w:t>）供应商代表等有关人员在开标记录上签字确认；（</w:t>
            </w:r>
            <w:r>
              <w:rPr>
                <w:szCs w:val="21"/>
              </w:rPr>
              <w:t>7</w:t>
            </w:r>
            <w:r>
              <w:rPr>
                <w:rFonts w:hint="eastAsia"/>
                <w:szCs w:val="21"/>
              </w:rPr>
              <w:t>）开标结束。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35" w:type="dxa"/>
            <w:vAlign w:val="center"/>
          </w:tcPr>
          <w:p>
            <w:pPr>
              <w:adjustRightInd w:val="0"/>
              <w:spacing w:line="420" w:lineRule="exact"/>
              <w:jc w:val="center"/>
              <w:rPr>
                <w:rFonts w:ascii="宋体"/>
                <w:color w:val="0000FF"/>
                <w:szCs w:val="21"/>
              </w:rPr>
            </w:pPr>
            <w:r>
              <w:rPr>
                <w:rFonts w:ascii="宋体" w:hAnsi="宋体"/>
                <w:color w:val="000000"/>
                <w:szCs w:val="21"/>
              </w:rPr>
              <w:t>2</w:t>
            </w:r>
            <w:r>
              <w:rPr>
                <w:rFonts w:hint="eastAsia" w:ascii="宋体" w:hAnsi="宋体"/>
                <w:color w:val="000000"/>
                <w:szCs w:val="21"/>
              </w:rPr>
              <w:t>4</w:t>
            </w:r>
          </w:p>
        </w:tc>
        <w:tc>
          <w:tcPr>
            <w:tcW w:w="1926" w:type="dxa"/>
            <w:vAlign w:val="center"/>
          </w:tcPr>
          <w:p>
            <w:pPr>
              <w:spacing w:line="420" w:lineRule="exact"/>
              <w:jc w:val="center"/>
              <w:rPr>
                <w:rFonts w:ascii="宋体"/>
                <w:szCs w:val="21"/>
              </w:rPr>
            </w:pPr>
            <w:r>
              <w:rPr>
                <w:rFonts w:hint="eastAsia" w:ascii="宋体" w:hAnsi="宋体"/>
                <w:szCs w:val="21"/>
              </w:rPr>
              <w:t>评标委员会的组建</w:t>
            </w:r>
          </w:p>
        </w:tc>
        <w:tc>
          <w:tcPr>
            <w:tcW w:w="6478" w:type="dxa"/>
            <w:gridSpan w:val="2"/>
            <w:vAlign w:val="center"/>
          </w:tcPr>
          <w:p>
            <w:pPr>
              <w:spacing w:line="420" w:lineRule="exact"/>
              <w:rPr>
                <w:szCs w:val="21"/>
              </w:rPr>
            </w:pPr>
            <w:r>
              <w:rPr>
                <w:rFonts w:hint="eastAsia"/>
                <w:szCs w:val="21"/>
              </w:rPr>
              <w:t>评标委员会组成：评标委员会由采购人代表和评审专家组成，成员人数应当为5人以上单数，评审专家不得少于成员总数的三分之二。</w:t>
            </w:r>
          </w:p>
          <w:p>
            <w:pPr>
              <w:spacing w:line="420" w:lineRule="exact"/>
              <w:rPr>
                <w:szCs w:val="21"/>
              </w:rPr>
            </w:pPr>
            <w:r>
              <w:rPr>
                <w:rFonts w:hint="eastAsia"/>
                <w:szCs w:val="21"/>
              </w:rPr>
              <w:t>注：上述规定为一组评标专家组成方式，根据项目标段数量和评标工作量，可由多组专家完成评审，但一个标段只能由一组专家评审。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35" w:type="dxa"/>
            <w:vAlign w:val="center"/>
          </w:tcPr>
          <w:p>
            <w:pPr>
              <w:spacing w:line="420" w:lineRule="exact"/>
              <w:jc w:val="center"/>
              <w:rPr>
                <w:rFonts w:ascii="宋体"/>
                <w:szCs w:val="21"/>
              </w:rPr>
            </w:pPr>
            <w:r>
              <w:rPr>
                <w:rFonts w:ascii="宋体" w:hAnsi="宋体"/>
                <w:szCs w:val="21"/>
              </w:rPr>
              <w:t>2</w:t>
            </w:r>
            <w:r>
              <w:rPr>
                <w:rFonts w:hint="eastAsia" w:ascii="宋体" w:hAnsi="宋体"/>
                <w:szCs w:val="21"/>
              </w:rPr>
              <w:t>5</w:t>
            </w:r>
          </w:p>
        </w:tc>
        <w:tc>
          <w:tcPr>
            <w:tcW w:w="1926" w:type="dxa"/>
            <w:vAlign w:val="center"/>
          </w:tcPr>
          <w:p>
            <w:pPr>
              <w:spacing w:line="420" w:lineRule="exact"/>
              <w:jc w:val="center"/>
              <w:rPr>
                <w:rFonts w:ascii="宋体"/>
                <w:szCs w:val="21"/>
              </w:rPr>
            </w:pPr>
            <w:r>
              <w:rPr>
                <w:rFonts w:hint="eastAsia" w:ascii="宋体" w:hAnsi="宋体"/>
                <w:szCs w:val="21"/>
              </w:rPr>
              <w:t>评标方法和标准</w:t>
            </w:r>
          </w:p>
        </w:tc>
        <w:tc>
          <w:tcPr>
            <w:tcW w:w="6478" w:type="dxa"/>
            <w:gridSpan w:val="2"/>
            <w:vAlign w:val="center"/>
          </w:tcPr>
          <w:p>
            <w:pPr>
              <w:spacing w:line="420" w:lineRule="exact"/>
              <w:rPr>
                <w:rFonts w:ascii="宋体"/>
                <w:szCs w:val="21"/>
              </w:rPr>
            </w:pPr>
            <w:r>
              <w:rPr>
                <w:rFonts w:hint="eastAsia" w:ascii="宋体" w:hAnsi="宋体"/>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35" w:type="dxa"/>
            <w:vAlign w:val="center"/>
          </w:tcPr>
          <w:p>
            <w:pPr>
              <w:adjustRightInd w:val="0"/>
              <w:spacing w:line="420" w:lineRule="exact"/>
              <w:jc w:val="center"/>
              <w:rPr>
                <w:rFonts w:ascii="宋体"/>
                <w:color w:val="000000"/>
                <w:szCs w:val="21"/>
              </w:rPr>
            </w:pPr>
            <w:r>
              <w:rPr>
                <w:rFonts w:hint="eastAsia" w:ascii="宋体" w:hAnsi="宋体"/>
                <w:color w:val="000000"/>
                <w:szCs w:val="21"/>
              </w:rPr>
              <w:t>26</w:t>
            </w:r>
          </w:p>
        </w:tc>
        <w:tc>
          <w:tcPr>
            <w:tcW w:w="1926" w:type="dxa"/>
            <w:vAlign w:val="center"/>
          </w:tcPr>
          <w:p>
            <w:pPr>
              <w:spacing w:line="420" w:lineRule="exact"/>
              <w:jc w:val="center"/>
              <w:rPr>
                <w:rFonts w:ascii="宋体"/>
                <w:color w:val="000000"/>
                <w:szCs w:val="21"/>
              </w:rPr>
            </w:pPr>
            <w:r>
              <w:rPr>
                <w:rFonts w:hint="eastAsia" w:ascii="宋体" w:hAnsi="宋体"/>
                <w:color w:val="000000"/>
                <w:szCs w:val="21"/>
              </w:rPr>
              <w:t>付款方式</w:t>
            </w:r>
          </w:p>
        </w:tc>
        <w:tc>
          <w:tcPr>
            <w:tcW w:w="6478" w:type="dxa"/>
            <w:gridSpan w:val="2"/>
            <w:vAlign w:val="center"/>
          </w:tcPr>
          <w:p>
            <w:pPr>
              <w:spacing w:line="420" w:lineRule="exact"/>
              <w:jc w:val="left"/>
              <w:rPr>
                <w:rFonts w:ascii="宋体"/>
                <w:color w:val="000000"/>
                <w:szCs w:val="21"/>
              </w:rPr>
            </w:pPr>
            <w:r>
              <w:rPr>
                <w:rFonts w:hint="eastAsia" w:ascii="宋体" w:hAnsi="宋体"/>
                <w:color w:val="000000"/>
                <w:szCs w:val="21"/>
              </w:rPr>
              <w:t>双方签订合同时，另行约定。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35" w:type="dxa"/>
            <w:vAlign w:val="center"/>
          </w:tcPr>
          <w:p>
            <w:pPr>
              <w:spacing w:line="420" w:lineRule="exact"/>
              <w:jc w:val="center"/>
              <w:rPr>
                <w:rFonts w:ascii="宋体"/>
                <w:szCs w:val="21"/>
              </w:rPr>
            </w:pPr>
            <w:r>
              <w:rPr>
                <w:rFonts w:hint="eastAsia" w:ascii="宋体" w:hAnsi="宋体"/>
                <w:szCs w:val="21"/>
              </w:rPr>
              <w:t>27</w:t>
            </w:r>
          </w:p>
        </w:tc>
        <w:tc>
          <w:tcPr>
            <w:tcW w:w="8404" w:type="dxa"/>
            <w:gridSpan w:val="3"/>
            <w:vAlign w:val="center"/>
          </w:tcPr>
          <w:p>
            <w:pPr>
              <w:spacing w:line="420" w:lineRule="exact"/>
              <w:jc w:val="center"/>
              <w:rPr>
                <w:rFonts w:ascii="宋体"/>
                <w:szCs w:val="21"/>
              </w:rPr>
            </w:pPr>
            <w:r>
              <w:rPr>
                <w:rFonts w:hint="eastAsia" w:ascii="宋体" w:hAnsi="宋体"/>
                <w:szCs w:val="21"/>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35" w:type="dxa"/>
            <w:vAlign w:val="center"/>
          </w:tcPr>
          <w:p>
            <w:pPr>
              <w:adjustRightInd w:val="0"/>
              <w:spacing w:line="400" w:lineRule="exact"/>
              <w:jc w:val="center"/>
              <w:rPr>
                <w:rFonts w:ascii="宋体"/>
                <w:szCs w:val="21"/>
              </w:rPr>
            </w:pPr>
            <w:r>
              <w:rPr>
                <w:rFonts w:ascii="宋体" w:hAnsi="宋体"/>
                <w:szCs w:val="21"/>
              </w:rPr>
              <w:t>2</w:t>
            </w:r>
            <w:r>
              <w:rPr>
                <w:rFonts w:hint="eastAsia" w:ascii="宋体" w:hAnsi="宋体"/>
                <w:szCs w:val="21"/>
              </w:rPr>
              <w:t>7</w:t>
            </w:r>
            <w:r>
              <w:rPr>
                <w:rFonts w:ascii="宋体" w:hAnsi="宋体"/>
                <w:szCs w:val="21"/>
              </w:rPr>
              <w:t>.1</w:t>
            </w:r>
          </w:p>
        </w:tc>
        <w:tc>
          <w:tcPr>
            <w:tcW w:w="1967" w:type="dxa"/>
            <w:gridSpan w:val="2"/>
            <w:vAlign w:val="center"/>
          </w:tcPr>
          <w:p>
            <w:pPr>
              <w:adjustRightInd w:val="0"/>
              <w:spacing w:line="400" w:lineRule="exact"/>
              <w:jc w:val="center"/>
              <w:rPr>
                <w:rFonts w:ascii="宋体"/>
                <w:b/>
                <w:bCs/>
                <w:snapToGrid w:val="0"/>
                <w:kern w:val="0"/>
                <w:szCs w:val="21"/>
              </w:rPr>
            </w:pPr>
            <w:r>
              <w:rPr>
                <w:rFonts w:hint="eastAsia" w:ascii="宋体" w:hAnsi="宋体"/>
                <w:b/>
                <w:bCs/>
                <w:szCs w:val="21"/>
              </w:rPr>
              <w:t>招标控制价</w:t>
            </w:r>
          </w:p>
        </w:tc>
        <w:tc>
          <w:tcPr>
            <w:tcW w:w="6437" w:type="dxa"/>
            <w:vAlign w:val="center"/>
          </w:tcPr>
          <w:p>
            <w:pPr>
              <w:adjustRightInd w:val="0"/>
              <w:spacing w:line="420" w:lineRule="exact"/>
              <w:jc w:val="left"/>
              <w:rPr>
                <w:rFonts w:ascii="宋体"/>
                <w:b/>
                <w:bCs/>
                <w:snapToGrid w:val="0"/>
                <w:kern w:val="0"/>
                <w:szCs w:val="21"/>
              </w:rPr>
            </w:pPr>
            <w:r>
              <w:rPr>
                <w:rFonts w:hint="eastAsia" w:ascii="宋体" w:hAnsi="宋体"/>
                <w:b/>
                <w:bCs/>
                <w:szCs w:val="21"/>
                <w:u w:val="single"/>
              </w:rPr>
              <w:t>150万元人民币</w:t>
            </w:r>
            <w:r>
              <w:rPr>
                <w:rFonts w:hint="eastAsia" w:ascii="宋体" w:hAnsi="宋体"/>
                <w:b/>
                <w:bCs/>
                <w:szCs w:val="21"/>
              </w:rPr>
              <w:t>；投标报价超出招标控制价的投标文件将不进入评审程序。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35" w:type="dxa"/>
            <w:vAlign w:val="center"/>
          </w:tcPr>
          <w:p>
            <w:pPr>
              <w:adjustRightInd w:val="0"/>
              <w:spacing w:line="400" w:lineRule="exact"/>
              <w:jc w:val="center"/>
              <w:rPr>
                <w:rFonts w:ascii="宋体"/>
                <w:szCs w:val="21"/>
              </w:rPr>
            </w:pPr>
            <w:r>
              <w:rPr>
                <w:rFonts w:ascii="宋体" w:hAnsi="宋体"/>
                <w:szCs w:val="21"/>
              </w:rPr>
              <w:t>2</w:t>
            </w:r>
            <w:r>
              <w:rPr>
                <w:rFonts w:hint="eastAsia" w:ascii="宋体" w:hAnsi="宋体"/>
                <w:szCs w:val="21"/>
              </w:rPr>
              <w:t>7</w:t>
            </w:r>
            <w:r>
              <w:rPr>
                <w:rFonts w:ascii="宋体" w:hAnsi="宋体"/>
                <w:szCs w:val="21"/>
              </w:rPr>
              <w:t>.2</w:t>
            </w:r>
          </w:p>
        </w:tc>
        <w:tc>
          <w:tcPr>
            <w:tcW w:w="1967" w:type="dxa"/>
            <w:gridSpan w:val="2"/>
            <w:vAlign w:val="center"/>
          </w:tcPr>
          <w:p>
            <w:pPr>
              <w:adjustRightInd w:val="0"/>
              <w:spacing w:line="400" w:lineRule="exact"/>
              <w:jc w:val="center"/>
              <w:rPr>
                <w:rFonts w:ascii="宋体"/>
                <w:szCs w:val="21"/>
              </w:rPr>
            </w:pPr>
            <w:r>
              <w:rPr>
                <w:rFonts w:hint="eastAsia" w:ascii="宋体" w:hAnsi="宋体"/>
                <w:szCs w:val="21"/>
              </w:rPr>
              <w:t>中标候选人公示媒介及期限</w:t>
            </w:r>
          </w:p>
        </w:tc>
        <w:tc>
          <w:tcPr>
            <w:tcW w:w="6437" w:type="dxa"/>
            <w:vAlign w:val="center"/>
          </w:tcPr>
          <w:p>
            <w:pPr>
              <w:adjustRightInd w:val="0"/>
              <w:spacing w:line="420" w:lineRule="exact"/>
              <w:rPr>
                <w:rFonts w:ascii="宋体" w:hAnsi="宋体"/>
                <w:szCs w:val="21"/>
              </w:rPr>
            </w:pPr>
            <w:r>
              <w:rPr>
                <w:rFonts w:hint="eastAsia" w:ascii="宋体" w:hAnsi="宋体"/>
                <w:szCs w:val="21"/>
              </w:rPr>
              <w:t>公示媒介：同招标公告发布媒介</w:t>
            </w:r>
          </w:p>
          <w:p>
            <w:pPr>
              <w:adjustRightInd w:val="0"/>
              <w:spacing w:line="420" w:lineRule="exact"/>
              <w:rPr>
                <w:rFonts w:ascii="宋体"/>
                <w:szCs w:val="21"/>
              </w:rPr>
            </w:pPr>
            <w:r>
              <w:rPr>
                <w:rFonts w:hint="eastAsia" w:ascii="宋体" w:hAnsi="宋体"/>
                <w:szCs w:val="21"/>
              </w:rPr>
              <w:t>公示期限：1个工作日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35" w:type="dxa"/>
            <w:vAlign w:val="center"/>
          </w:tcPr>
          <w:p>
            <w:pPr>
              <w:adjustRightInd w:val="0"/>
              <w:spacing w:line="420" w:lineRule="exact"/>
              <w:jc w:val="center"/>
              <w:rPr>
                <w:rFonts w:ascii="宋体"/>
                <w:szCs w:val="21"/>
              </w:rPr>
            </w:pPr>
            <w:r>
              <w:rPr>
                <w:rFonts w:ascii="宋体" w:hAnsi="宋体"/>
                <w:szCs w:val="21"/>
              </w:rPr>
              <w:t>2</w:t>
            </w:r>
            <w:r>
              <w:rPr>
                <w:rFonts w:hint="eastAsia" w:ascii="宋体" w:hAnsi="宋体"/>
                <w:szCs w:val="21"/>
              </w:rPr>
              <w:t>7</w:t>
            </w:r>
            <w:r>
              <w:rPr>
                <w:rFonts w:ascii="宋体" w:hAnsi="宋体"/>
                <w:szCs w:val="21"/>
              </w:rPr>
              <w:t>.</w:t>
            </w:r>
            <w:r>
              <w:rPr>
                <w:rFonts w:hint="eastAsia" w:ascii="宋体" w:hAnsi="宋体"/>
                <w:szCs w:val="21"/>
              </w:rPr>
              <w:t>3</w:t>
            </w:r>
          </w:p>
        </w:tc>
        <w:tc>
          <w:tcPr>
            <w:tcW w:w="1967" w:type="dxa"/>
            <w:gridSpan w:val="2"/>
            <w:vAlign w:val="center"/>
          </w:tcPr>
          <w:p>
            <w:pPr>
              <w:adjustRightInd w:val="0"/>
              <w:spacing w:line="420" w:lineRule="exact"/>
              <w:jc w:val="center"/>
              <w:rPr>
                <w:rFonts w:ascii="宋体"/>
                <w:szCs w:val="21"/>
              </w:rPr>
            </w:pPr>
            <w:r>
              <w:rPr>
                <w:rFonts w:hint="eastAsia" w:ascii="宋体" w:hAnsi="宋体"/>
                <w:szCs w:val="21"/>
              </w:rPr>
              <w:t>资格审查</w:t>
            </w:r>
          </w:p>
        </w:tc>
        <w:tc>
          <w:tcPr>
            <w:tcW w:w="6437" w:type="dxa"/>
            <w:vAlign w:val="center"/>
          </w:tcPr>
          <w:p>
            <w:pPr>
              <w:adjustRightInd w:val="0"/>
              <w:spacing w:line="420" w:lineRule="exact"/>
              <w:rPr>
                <w:rFonts w:ascii="宋体"/>
                <w:szCs w:val="21"/>
              </w:rPr>
            </w:pPr>
            <w:r>
              <w:rPr>
                <w:rFonts w:hint="eastAsia" w:ascii="宋体" w:hAnsi="宋体"/>
                <w:b/>
                <w:bCs/>
                <w:szCs w:val="21"/>
              </w:rPr>
              <w:t>开标现场，供应商须提供供应商须知前附表“7.供应商资格要求”中相关证明材料，以备查。根据《政府采购货物和服务招标投标管理办法》（财政部令第87号）第四十四条规定：公开招标采购项目开标结束后，采购人或者采购代理机构应当依法对供应商的资格进行审查。合格供应商不足3家的，不得评标。</w:t>
            </w:r>
          </w:p>
        </w:tc>
      </w:tr>
      <w:bookmarkEnd w:id="13"/>
      <w:bookmarkEnd w:id="14"/>
    </w:tbl>
    <w:p>
      <w:pPr>
        <w:spacing w:line="337" w:lineRule="exact"/>
        <w:rPr>
          <w:rFonts w:ascii="仿宋" w:hAnsi="仿宋" w:eastAsia="仿宋"/>
          <w:sz w:val="28"/>
          <w:szCs w:val="36"/>
        </w:rPr>
      </w:pPr>
      <w:bookmarkStart w:id="15" w:name="_Toc318932193"/>
      <w:r>
        <w:rPr>
          <w:rFonts w:hint="eastAsia" w:ascii="仿宋" w:hAnsi="仿宋" w:eastAsia="仿宋"/>
          <w:b/>
          <w:bCs/>
          <w:sz w:val="28"/>
          <w:szCs w:val="36"/>
        </w:rPr>
        <w:t>说明：本表中内容与本文件其他处（评标办法除外）要求内容不一致的，以本表内容为准。</w:t>
      </w:r>
      <w:bookmarkStart w:id="16" w:name="一、总则"/>
      <w:bookmarkEnd w:id="16"/>
    </w:p>
    <w:p>
      <w:pPr>
        <w:jc w:val="center"/>
        <w:rPr>
          <w:b/>
          <w:sz w:val="32"/>
          <w:szCs w:val="32"/>
        </w:rPr>
      </w:pPr>
    </w:p>
    <w:p>
      <w:pPr>
        <w:jc w:val="center"/>
        <w:rPr>
          <w:b/>
          <w:sz w:val="32"/>
          <w:szCs w:val="32"/>
        </w:rPr>
      </w:pPr>
    </w:p>
    <w:p>
      <w:pPr>
        <w:jc w:val="center"/>
        <w:rPr>
          <w:b/>
          <w:sz w:val="32"/>
          <w:szCs w:val="32"/>
        </w:rPr>
      </w:pPr>
    </w:p>
    <w:p>
      <w:pPr>
        <w:pStyle w:val="2"/>
        <w:ind w:firstLine="560"/>
      </w:pPr>
    </w:p>
    <w:p>
      <w:pPr>
        <w:pStyle w:val="2"/>
        <w:ind w:firstLine="560"/>
      </w:pPr>
    </w:p>
    <w:p>
      <w:pPr>
        <w:jc w:val="center"/>
        <w:rPr>
          <w:b/>
          <w:sz w:val="32"/>
          <w:szCs w:val="32"/>
        </w:rPr>
      </w:pPr>
    </w:p>
    <w:p>
      <w:pPr>
        <w:jc w:val="center"/>
        <w:rPr>
          <w:b/>
          <w:sz w:val="32"/>
          <w:szCs w:val="32"/>
        </w:rPr>
      </w:pPr>
      <w:r>
        <w:rPr>
          <w:rFonts w:hint="eastAsia"/>
          <w:b/>
          <w:sz w:val="32"/>
          <w:szCs w:val="32"/>
        </w:rPr>
        <w:t>二．供应商须知</w:t>
      </w:r>
      <w:bookmarkEnd w:id="15"/>
    </w:p>
    <w:p>
      <w:pPr>
        <w:spacing w:before="156" w:beforeLines="50" w:after="156" w:afterLines="50" w:line="440" w:lineRule="exact"/>
        <w:jc w:val="center"/>
        <w:rPr>
          <w:rFonts w:ascii="宋体"/>
          <w:b/>
          <w:sz w:val="28"/>
          <w:szCs w:val="28"/>
        </w:rPr>
      </w:pPr>
      <w:r>
        <w:rPr>
          <w:rFonts w:hint="eastAsia" w:ascii="宋体" w:hAnsi="宋体"/>
          <w:b/>
          <w:sz w:val="28"/>
          <w:szCs w:val="28"/>
        </w:rPr>
        <w:t>（一）总则</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 xml:space="preserve">1. </w:t>
      </w:r>
      <w:r>
        <w:rPr>
          <w:rFonts w:hint="eastAsia" w:ascii="宋体" w:hAnsi="宋体" w:cs="宋体"/>
          <w:b/>
          <w:kern w:val="0"/>
          <w:sz w:val="24"/>
        </w:rPr>
        <w:t>项目说明</w:t>
      </w:r>
    </w:p>
    <w:p>
      <w:pPr>
        <w:spacing w:line="440" w:lineRule="exact"/>
        <w:ind w:firstLine="480" w:firstLineChars="200"/>
        <w:rPr>
          <w:rFonts w:ascii="宋体" w:cs="宋体"/>
          <w:kern w:val="0"/>
          <w:sz w:val="24"/>
        </w:rPr>
      </w:pPr>
      <w:r>
        <w:rPr>
          <w:rFonts w:ascii="宋体" w:hAnsi="宋体"/>
          <w:sz w:val="24"/>
        </w:rPr>
        <w:t>1.1</w:t>
      </w:r>
      <w:r>
        <w:rPr>
          <w:rFonts w:hint="eastAsia" w:ascii="宋体" w:hAnsi="宋体" w:cs="宋体"/>
          <w:kern w:val="0"/>
          <w:sz w:val="24"/>
        </w:rPr>
        <w:t>根据《中华人民共和国政府采购法》及《政府采购货物和服务招标投标管理办法》等有关法律、法规和规章的规定，本招标项目已具备招标条件，现通过招标方式选定供货商。</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1.2 </w:t>
      </w:r>
      <w:r>
        <w:rPr>
          <w:rFonts w:hint="eastAsia" w:ascii="宋体" w:hAnsi="宋体" w:cs="宋体"/>
          <w:kern w:val="0"/>
          <w:sz w:val="24"/>
        </w:rPr>
        <w:t>本项目招标人：见供应商须知前附表第</w:t>
      </w:r>
      <w:r>
        <w:rPr>
          <w:rFonts w:ascii="宋体" w:hAnsi="宋体" w:cs="宋体"/>
          <w:kern w:val="0"/>
          <w:sz w:val="24"/>
        </w:rPr>
        <w:t>1</w:t>
      </w:r>
      <w:r>
        <w:rPr>
          <w:rFonts w:hint="eastAsia" w:ascii="宋体" w:hAnsi="宋体" w:cs="宋体"/>
          <w:kern w:val="0"/>
          <w:sz w:val="24"/>
        </w:rPr>
        <w:t>项。</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1.3 </w:t>
      </w:r>
      <w:r>
        <w:rPr>
          <w:rFonts w:hint="eastAsia" w:ascii="宋体" w:hAnsi="宋体" w:cs="宋体"/>
          <w:kern w:val="0"/>
          <w:sz w:val="24"/>
        </w:rPr>
        <w:t>本项目招标代理机构：见供应商须知前附表第</w:t>
      </w:r>
      <w:r>
        <w:rPr>
          <w:rFonts w:ascii="宋体" w:hAnsi="宋体" w:cs="宋体"/>
          <w:kern w:val="0"/>
          <w:sz w:val="24"/>
        </w:rPr>
        <w:t>2</w:t>
      </w:r>
      <w:r>
        <w:rPr>
          <w:rFonts w:hint="eastAsia" w:ascii="宋体" w:hAnsi="宋体" w:cs="宋体"/>
          <w:kern w:val="0"/>
          <w:sz w:val="24"/>
        </w:rPr>
        <w:t>项。</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1.4 </w:t>
      </w:r>
      <w:r>
        <w:rPr>
          <w:rFonts w:hint="eastAsia" w:ascii="宋体" w:hAnsi="宋体" w:cs="宋体"/>
          <w:kern w:val="0"/>
          <w:sz w:val="24"/>
        </w:rPr>
        <w:t>本项目名称：见供应商须知前附表第</w:t>
      </w:r>
      <w:r>
        <w:rPr>
          <w:rFonts w:ascii="宋体" w:hAnsi="宋体" w:cs="宋体"/>
          <w:kern w:val="0"/>
          <w:sz w:val="24"/>
        </w:rPr>
        <w:t>3</w:t>
      </w:r>
      <w:r>
        <w:rPr>
          <w:rFonts w:hint="eastAsia" w:ascii="宋体" w:hAnsi="宋体" w:cs="宋体"/>
          <w:kern w:val="0"/>
          <w:sz w:val="24"/>
        </w:rPr>
        <w:t>项。</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1.5 </w:t>
      </w:r>
      <w:r>
        <w:rPr>
          <w:rFonts w:hint="eastAsia" w:ascii="宋体" w:hAnsi="宋体" w:cs="宋体"/>
          <w:kern w:val="0"/>
          <w:sz w:val="24"/>
        </w:rPr>
        <w:t>本项目主要采购内容：见供应商须知前附表第</w:t>
      </w:r>
      <w:r>
        <w:rPr>
          <w:rFonts w:ascii="宋体" w:hAnsi="宋体" w:cs="宋体"/>
          <w:kern w:val="0"/>
          <w:sz w:val="24"/>
        </w:rPr>
        <w:t>4</w:t>
      </w:r>
      <w:r>
        <w:rPr>
          <w:rFonts w:hint="eastAsia" w:ascii="宋体" w:hAnsi="宋体" w:cs="宋体"/>
          <w:kern w:val="0"/>
          <w:sz w:val="24"/>
        </w:rPr>
        <w:t>项。</w:t>
      </w:r>
    </w:p>
    <w:p>
      <w:pPr>
        <w:widowControl/>
        <w:tabs>
          <w:tab w:val="left" w:pos="540"/>
        </w:tabs>
        <w:spacing w:line="440" w:lineRule="exact"/>
        <w:ind w:firstLine="495"/>
        <w:jc w:val="left"/>
        <w:rPr>
          <w:rFonts w:ascii="宋体" w:hAnsi="宋体" w:cs="宋体"/>
          <w:kern w:val="0"/>
          <w:sz w:val="24"/>
        </w:rPr>
      </w:pPr>
      <w:r>
        <w:rPr>
          <w:rFonts w:ascii="宋体" w:hAnsi="宋体" w:cs="宋体"/>
          <w:kern w:val="0"/>
          <w:sz w:val="24"/>
        </w:rPr>
        <w:t xml:space="preserve">1.6 </w:t>
      </w:r>
      <w:r>
        <w:rPr>
          <w:rFonts w:hint="eastAsia" w:ascii="宋体" w:hAnsi="宋体" w:cs="宋体"/>
          <w:kern w:val="0"/>
          <w:sz w:val="24"/>
        </w:rPr>
        <w:t>本项目供货期期限：见供应商须知前附表第5项。</w:t>
      </w:r>
    </w:p>
    <w:p>
      <w:pPr>
        <w:widowControl/>
        <w:tabs>
          <w:tab w:val="left" w:pos="540"/>
        </w:tabs>
        <w:spacing w:line="440" w:lineRule="exact"/>
        <w:jc w:val="left"/>
        <w:rPr>
          <w:rFonts w:ascii="宋体" w:hAnsi="宋体" w:cs="宋体"/>
          <w:b/>
          <w:bCs/>
          <w:kern w:val="0"/>
          <w:sz w:val="24"/>
        </w:rPr>
      </w:pPr>
      <w:r>
        <w:rPr>
          <w:rFonts w:hint="eastAsia" w:ascii="宋体" w:hAnsi="宋体" w:cs="宋体"/>
          <w:b/>
          <w:bCs/>
          <w:kern w:val="0"/>
          <w:sz w:val="24"/>
        </w:rPr>
        <w:t>2.有关定义</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2.1 </w:t>
      </w:r>
      <w:r>
        <w:rPr>
          <w:rFonts w:hint="eastAsia" w:ascii="宋体" w:hAnsi="宋体" w:cs="宋体"/>
          <w:kern w:val="0"/>
          <w:sz w:val="24"/>
        </w:rPr>
        <w:t>招标人：招标人系指依法进行政府采购的国家机关、事业单位、团体组织。本次招标的招标人是</w:t>
      </w:r>
      <w:r>
        <w:rPr>
          <w:rFonts w:hint="eastAsia" w:ascii="宋体" w:hAnsi="宋体" w:cs="宋体"/>
          <w:color w:val="000000"/>
          <w:kern w:val="0"/>
          <w:sz w:val="24"/>
          <w:lang w:eastAsia="zh-CN"/>
        </w:rPr>
        <w:t>河南质量工程职业学院</w:t>
      </w:r>
      <w:r>
        <w:rPr>
          <w:rFonts w:hint="eastAsia" w:ascii="宋体" w:hAnsi="宋体" w:cs="宋体"/>
          <w:kern w:val="0"/>
          <w:sz w:val="24"/>
        </w:rPr>
        <w:t>。</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2.2 </w:t>
      </w:r>
      <w:r>
        <w:rPr>
          <w:rFonts w:hint="eastAsia" w:ascii="宋体" w:hAnsi="宋体" w:cs="宋体"/>
          <w:kern w:val="0"/>
          <w:sz w:val="24"/>
        </w:rPr>
        <w:t>招标代理机构：招标代理机构系指根据招标人的委托依法办理招标事宜的中介机构。本次招标的招标代理机构是指受招标人委托组织招标的中和中基工程管理有限公司。</w:t>
      </w:r>
    </w:p>
    <w:p>
      <w:pPr>
        <w:shd w:val="clear" w:color="auto" w:fill="FFFFFF"/>
        <w:tabs>
          <w:tab w:val="left" w:pos="7665"/>
        </w:tabs>
        <w:snapToGrid w:val="0"/>
        <w:spacing w:line="440" w:lineRule="exact"/>
        <w:ind w:firstLine="480" w:firstLineChars="200"/>
        <w:rPr>
          <w:rFonts w:ascii="宋体" w:cs="宋体"/>
          <w:kern w:val="0"/>
          <w:sz w:val="24"/>
        </w:rPr>
      </w:pPr>
      <w:r>
        <w:rPr>
          <w:rFonts w:ascii="宋体" w:hAnsi="宋体" w:cs="宋体"/>
          <w:kern w:val="0"/>
          <w:sz w:val="24"/>
        </w:rPr>
        <w:t>2.3</w:t>
      </w:r>
      <w:r>
        <w:rPr>
          <w:rFonts w:hint="eastAsia" w:ascii="宋体" w:hAnsi="宋体" w:cs="宋体"/>
          <w:kern w:val="0"/>
          <w:sz w:val="24"/>
        </w:rPr>
        <w:t>合格的供应商</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2.3.1</w:t>
      </w:r>
      <w:r>
        <w:rPr>
          <w:rFonts w:hint="eastAsia" w:ascii="宋体" w:hAnsi="宋体" w:cs="宋体"/>
          <w:kern w:val="0"/>
          <w:sz w:val="24"/>
        </w:rPr>
        <w:t>具备供应商资质要求的条件，见供应商须知前附表第7项；</w:t>
      </w:r>
    </w:p>
    <w:p>
      <w:pPr>
        <w:shd w:val="clear" w:color="auto" w:fill="FFFFFF"/>
        <w:tabs>
          <w:tab w:val="left" w:pos="7665"/>
        </w:tabs>
        <w:snapToGrid w:val="0"/>
        <w:spacing w:line="440" w:lineRule="exact"/>
        <w:ind w:firstLine="480" w:firstLineChars="200"/>
        <w:rPr>
          <w:rFonts w:ascii="宋体"/>
          <w:sz w:val="24"/>
        </w:rPr>
      </w:pPr>
      <w:r>
        <w:rPr>
          <w:rFonts w:ascii="宋体" w:hAnsi="宋体" w:cs="宋体"/>
          <w:kern w:val="0"/>
          <w:sz w:val="24"/>
        </w:rPr>
        <w:t>2.3.2</w:t>
      </w:r>
      <w:r>
        <w:rPr>
          <w:rFonts w:hint="eastAsia" w:ascii="宋体" w:hAnsi="宋体" w:cs="宋体"/>
          <w:kern w:val="0"/>
          <w:sz w:val="24"/>
        </w:rPr>
        <w:t>购买了</w:t>
      </w:r>
      <w:r>
        <w:rPr>
          <w:rFonts w:hint="eastAsia" w:ascii="宋体" w:hAnsi="宋体"/>
          <w:sz w:val="24"/>
        </w:rPr>
        <w:t>招标文件拟参加投标和向招标人提供货物及相应服务的供应商；</w:t>
      </w:r>
    </w:p>
    <w:p>
      <w:pPr>
        <w:shd w:val="clear" w:color="auto" w:fill="FFFFFF"/>
        <w:tabs>
          <w:tab w:val="left" w:pos="7665"/>
        </w:tabs>
        <w:snapToGrid w:val="0"/>
        <w:spacing w:line="440" w:lineRule="exact"/>
        <w:ind w:firstLine="480" w:firstLineChars="200"/>
        <w:rPr>
          <w:rFonts w:ascii="宋体" w:cs="宋体"/>
          <w:kern w:val="0"/>
          <w:sz w:val="24"/>
        </w:rPr>
      </w:pPr>
      <w:r>
        <w:rPr>
          <w:rFonts w:ascii="宋体" w:hAnsi="宋体" w:cs="宋体"/>
          <w:kern w:val="0"/>
          <w:sz w:val="24"/>
        </w:rPr>
        <w:t>2.3.3</w:t>
      </w:r>
      <w:r>
        <w:rPr>
          <w:rFonts w:hint="eastAsia" w:ascii="宋体" w:hAnsi="宋体" w:cs="宋体"/>
          <w:kern w:val="0"/>
          <w:sz w:val="24"/>
        </w:rPr>
        <w:t>遵守国家有关的法律、法规和条例。</w:t>
      </w:r>
    </w:p>
    <w:p>
      <w:pPr>
        <w:adjustRightInd w:val="0"/>
        <w:snapToGrid w:val="0"/>
        <w:spacing w:before="156" w:beforeLines="50" w:after="156" w:afterLines="50" w:line="440" w:lineRule="exact"/>
        <w:jc w:val="left"/>
        <w:rPr>
          <w:rFonts w:ascii="宋体" w:cs="宋体"/>
          <w:b/>
          <w:kern w:val="0"/>
          <w:sz w:val="24"/>
        </w:rPr>
      </w:pPr>
      <w:bookmarkStart w:id="17" w:name="_Toc179632552"/>
      <w:bookmarkStart w:id="18" w:name="_Toc152042311"/>
      <w:bookmarkStart w:id="19" w:name="_Toc292893102"/>
      <w:bookmarkStart w:id="20" w:name="_Toc144974503"/>
      <w:bookmarkStart w:id="21" w:name="_Toc152045535"/>
      <w:r>
        <w:rPr>
          <w:rFonts w:ascii="宋体" w:hAnsi="宋体" w:cs="宋体"/>
          <w:b/>
          <w:kern w:val="0"/>
          <w:sz w:val="24"/>
        </w:rPr>
        <w:t>3.</w:t>
      </w:r>
      <w:r>
        <w:rPr>
          <w:rFonts w:hint="eastAsia" w:ascii="宋体" w:hAnsi="宋体" w:cs="宋体"/>
          <w:b/>
          <w:kern w:val="0"/>
          <w:sz w:val="24"/>
        </w:rPr>
        <w:t>费用承担</w:t>
      </w:r>
      <w:bookmarkEnd w:id="17"/>
      <w:bookmarkEnd w:id="18"/>
      <w:bookmarkEnd w:id="19"/>
      <w:bookmarkEnd w:id="20"/>
      <w:bookmarkEnd w:id="21"/>
    </w:p>
    <w:p>
      <w:pPr>
        <w:spacing w:line="440" w:lineRule="exact"/>
        <w:ind w:firstLine="480" w:firstLineChars="200"/>
        <w:rPr>
          <w:rFonts w:ascii="宋体" w:cs="宋体"/>
          <w:kern w:val="0"/>
          <w:sz w:val="24"/>
        </w:rPr>
      </w:pPr>
      <w:r>
        <w:rPr>
          <w:rFonts w:hint="eastAsia" w:ascii="宋体" w:hAnsi="宋体" w:cs="宋体"/>
          <w:kern w:val="0"/>
          <w:sz w:val="24"/>
        </w:rPr>
        <w:t>供应商应承担其编制招标文件与递交投标文件所涉及的一切费用。不管结果如何，供应商应自行承担投标的全部费用。</w:t>
      </w:r>
    </w:p>
    <w:p>
      <w:pPr>
        <w:adjustRightInd w:val="0"/>
        <w:snapToGrid w:val="0"/>
        <w:spacing w:before="156" w:beforeLines="50" w:after="156" w:afterLines="50" w:line="440" w:lineRule="exact"/>
        <w:jc w:val="left"/>
        <w:rPr>
          <w:rFonts w:ascii="宋体" w:cs="宋体"/>
          <w:b/>
          <w:kern w:val="0"/>
          <w:sz w:val="24"/>
        </w:rPr>
      </w:pPr>
      <w:bookmarkStart w:id="22" w:name="_Toc144974505"/>
      <w:bookmarkStart w:id="23" w:name="_Toc152042313"/>
      <w:bookmarkStart w:id="24" w:name="_Toc152045537"/>
      <w:bookmarkStart w:id="25" w:name="_Toc292893103"/>
      <w:bookmarkStart w:id="26" w:name="_Toc179632554"/>
      <w:r>
        <w:rPr>
          <w:rFonts w:ascii="宋体" w:hAnsi="宋体" w:cs="宋体"/>
          <w:b/>
          <w:kern w:val="0"/>
          <w:sz w:val="24"/>
        </w:rPr>
        <w:t>4.</w:t>
      </w:r>
      <w:r>
        <w:rPr>
          <w:rFonts w:hint="eastAsia" w:ascii="宋体" w:hAnsi="宋体" w:cs="宋体"/>
          <w:b/>
          <w:kern w:val="0"/>
          <w:sz w:val="24"/>
        </w:rPr>
        <w:t>语言</w:t>
      </w:r>
      <w:bookmarkEnd w:id="22"/>
      <w:r>
        <w:rPr>
          <w:rFonts w:hint="eastAsia" w:ascii="宋体" w:hAnsi="宋体" w:cs="宋体"/>
          <w:b/>
          <w:kern w:val="0"/>
          <w:sz w:val="24"/>
        </w:rPr>
        <w:t>文字</w:t>
      </w:r>
      <w:bookmarkEnd w:id="23"/>
      <w:bookmarkEnd w:id="24"/>
      <w:bookmarkEnd w:id="25"/>
      <w:bookmarkEnd w:id="26"/>
    </w:p>
    <w:p>
      <w:pPr>
        <w:tabs>
          <w:tab w:val="left" w:pos="540"/>
        </w:tabs>
        <w:spacing w:line="440" w:lineRule="exact"/>
        <w:ind w:firstLine="495"/>
        <w:jc w:val="left"/>
        <w:rPr>
          <w:rFonts w:ascii="宋体" w:hAnsi="宋体"/>
          <w:b/>
          <w:sz w:val="28"/>
          <w:szCs w:val="28"/>
        </w:rPr>
      </w:pPr>
      <w:r>
        <w:rPr>
          <w:rFonts w:hint="eastAsia" w:ascii="宋体" w:hAnsi="宋体" w:cs="宋体"/>
          <w:kern w:val="0"/>
          <w:sz w:val="24"/>
        </w:rPr>
        <w:t>除专用术语外，与招标投标有关的语言均使用中文。专用术语应附有中文注释。</w:t>
      </w:r>
    </w:p>
    <w:p>
      <w:pPr>
        <w:spacing w:before="156" w:beforeLines="50" w:after="156" w:afterLines="50" w:line="440" w:lineRule="exact"/>
        <w:jc w:val="center"/>
        <w:rPr>
          <w:rFonts w:ascii="宋体"/>
          <w:b/>
          <w:sz w:val="28"/>
          <w:szCs w:val="28"/>
        </w:rPr>
      </w:pPr>
      <w:r>
        <w:rPr>
          <w:rFonts w:hint="eastAsia" w:ascii="宋体" w:hAnsi="宋体"/>
          <w:b/>
          <w:sz w:val="28"/>
          <w:szCs w:val="28"/>
        </w:rPr>
        <w:t>（二）招标文件</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5.</w:t>
      </w:r>
      <w:r>
        <w:rPr>
          <w:rFonts w:hint="eastAsia" w:ascii="宋体" w:hAnsi="宋体" w:cs="宋体"/>
          <w:b/>
          <w:kern w:val="0"/>
          <w:sz w:val="24"/>
        </w:rPr>
        <w:t>招标文件的组成</w:t>
      </w:r>
    </w:p>
    <w:p>
      <w:pPr>
        <w:tabs>
          <w:tab w:val="left" w:pos="540"/>
        </w:tabs>
        <w:spacing w:line="440" w:lineRule="exact"/>
        <w:ind w:firstLine="495"/>
        <w:jc w:val="left"/>
        <w:rPr>
          <w:rFonts w:ascii="宋体" w:cs="宋体"/>
          <w:kern w:val="0"/>
          <w:sz w:val="24"/>
        </w:rPr>
      </w:pPr>
      <w:r>
        <w:rPr>
          <w:rFonts w:hint="eastAsia" w:ascii="宋体" w:hAnsi="宋体" w:cs="宋体"/>
          <w:kern w:val="0"/>
          <w:sz w:val="24"/>
        </w:rPr>
        <w:t>本招标文件包括：</w:t>
      </w:r>
    </w:p>
    <w:p>
      <w:pPr>
        <w:shd w:val="clear" w:color="auto" w:fill="FFFFFF"/>
        <w:tabs>
          <w:tab w:val="left" w:pos="7665"/>
        </w:tabs>
        <w:snapToGrid w:val="0"/>
        <w:spacing w:line="440" w:lineRule="exact"/>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）招标公告</w:t>
      </w:r>
    </w:p>
    <w:p>
      <w:pPr>
        <w:shd w:val="clear" w:color="auto" w:fill="FFFFFF"/>
        <w:tabs>
          <w:tab w:val="left" w:pos="7665"/>
        </w:tabs>
        <w:snapToGrid w:val="0"/>
        <w:spacing w:line="440" w:lineRule="exact"/>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）供应商须知</w:t>
      </w:r>
    </w:p>
    <w:p>
      <w:pPr>
        <w:shd w:val="clear" w:color="auto" w:fill="FFFFFF"/>
        <w:tabs>
          <w:tab w:val="left" w:pos="7665"/>
        </w:tabs>
        <w:snapToGrid w:val="0"/>
        <w:spacing w:line="440" w:lineRule="exact"/>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）评标办法</w:t>
      </w:r>
    </w:p>
    <w:p>
      <w:pPr>
        <w:shd w:val="clear" w:color="auto" w:fill="FFFFFF"/>
        <w:tabs>
          <w:tab w:val="left" w:pos="7665"/>
        </w:tabs>
        <w:snapToGrid w:val="0"/>
        <w:spacing w:line="440" w:lineRule="exact"/>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）合同条款及格式</w:t>
      </w:r>
    </w:p>
    <w:p>
      <w:pPr>
        <w:shd w:val="clear" w:color="auto" w:fill="FFFFFF"/>
        <w:tabs>
          <w:tab w:val="left" w:pos="7665"/>
        </w:tabs>
        <w:snapToGrid w:val="0"/>
        <w:spacing w:line="440" w:lineRule="exact"/>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）技术标准要求</w:t>
      </w:r>
    </w:p>
    <w:p>
      <w:pPr>
        <w:shd w:val="clear" w:color="auto" w:fill="FFFFFF"/>
        <w:tabs>
          <w:tab w:val="left" w:pos="7665"/>
        </w:tabs>
        <w:snapToGrid w:val="0"/>
        <w:spacing w:line="440" w:lineRule="exact"/>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）投标文件格式</w:t>
      </w:r>
    </w:p>
    <w:p>
      <w:pPr>
        <w:adjustRightInd w:val="0"/>
        <w:snapToGrid w:val="0"/>
        <w:spacing w:before="156" w:beforeLines="50" w:after="156" w:afterLines="50" w:line="440" w:lineRule="exact"/>
        <w:ind w:firstLine="480" w:firstLineChars="200"/>
        <w:jc w:val="left"/>
        <w:rPr>
          <w:rFonts w:ascii="宋体" w:cs="宋体"/>
          <w:kern w:val="0"/>
          <w:sz w:val="24"/>
        </w:rPr>
      </w:pPr>
      <w:r>
        <w:rPr>
          <w:rFonts w:hint="eastAsia" w:ascii="宋体" w:hAnsi="宋体" w:cs="宋体"/>
          <w:kern w:val="0"/>
          <w:sz w:val="24"/>
        </w:rPr>
        <w:t>根据本须知对招标文件所作的澄清、修改，构成招标文件的组成部分。</w:t>
      </w:r>
    </w:p>
    <w:p>
      <w:pPr>
        <w:spacing w:line="360" w:lineRule="auto"/>
        <w:rPr>
          <w:rFonts w:ascii="宋体" w:cs="宋体"/>
          <w:b/>
          <w:bCs/>
          <w:sz w:val="24"/>
        </w:rPr>
      </w:pPr>
      <w:r>
        <w:rPr>
          <w:rFonts w:ascii="宋体" w:cs="宋体"/>
          <w:b/>
          <w:bCs/>
          <w:sz w:val="24"/>
        </w:rPr>
        <w:t>6.</w:t>
      </w:r>
      <w:r>
        <w:rPr>
          <w:rFonts w:hint="eastAsia" w:ascii="宋体" w:cs="宋体"/>
          <w:b/>
          <w:bCs/>
          <w:sz w:val="24"/>
        </w:rPr>
        <w:t>招标文件的补充、修改</w:t>
      </w:r>
    </w:p>
    <w:p>
      <w:pPr>
        <w:spacing w:line="360" w:lineRule="auto"/>
        <w:ind w:firstLine="480" w:firstLineChars="200"/>
        <w:rPr>
          <w:rFonts w:ascii="宋体" w:cs="宋体"/>
          <w:sz w:val="24"/>
        </w:rPr>
      </w:pPr>
      <w:r>
        <w:rPr>
          <w:rFonts w:hint="eastAsia" w:ascii="宋体" w:cs="宋体"/>
          <w:sz w:val="24"/>
        </w:rPr>
        <w:t>在投标截止日15天前，招标人可以在电子交易系统中补充、修改招标文件，并公示给所有购买招标文件的供应商。如果修改招标文件的时间距投标截止时间不足</w:t>
      </w:r>
      <w:r>
        <w:rPr>
          <w:rFonts w:ascii="宋体" w:cs="宋体"/>
          <w:sz w:val="24"/>
        </w:rPr>
        <w:t>15</w:t>
      </w:r>
      <w:r>
        <w:rPr>
          <w:rFonts w:hint="eastAsia" w:ascii="宋体" w:cs="宋体"/>
          <w:sz w:val="24"/>
        </w:rPr>
        <w:t>天的，相应延长投标截止时间。</w:t>
      </w:r>
    </w:p>
    <w:p>
      <w:pPr>
        <w:spacing w:line="360" w:lineRule="auto"/>
        <w:rPr>
          <w:rFonts w:ascii="宋体" w:cs="宋体"/>
          <w:b/>
          <w:bCs/>
          <w:sz w:val="24"/>
        </w:rPr>
      </w:pPr>
      <w:r>
        <w:rPr>
          <w:rFonts w:ascii="宋体" w:cs="宋体"/>
          <w:b/>
          <w:bCs/>
          <w:sz w:val="24"/>
        </w:rPr>
        <w:t>7.</w:t>
      </w:r>
      <w:r>
        <w:rPr>
          <w:rFonts w:hint="eastAsia" w:ascii="宋体" w:cs="宋体"/>
          <w:b/>
          <w:bCs/>
          <w:sz w:val="24"/>
        </w:rPr>
        <w:t>招标文件的澄清</w:t>
      </w:r>
    </w:p>
    <w:p>
      <w:pPr>
        <w:spacing w:line="360" w:lineRule="auto"/>
        <w:ind w:firstLine="480" w:firstLineChars="200"/>
        <w:rPr>
          <w:rFonts w:ascii="宋体" w:cs="宋体"/>
          <w:sz w:val="24"/>
        </w:rPr>
      </w:pPr>
      <w:r>
        <w:rPr>
          <w:rFonts w:ascii="宋体" w:cs="宋体"/>
          <w:sz w:val="24"/>
        </w:rPr>
        <w:t>7.1</w:t>
      </w:r>
      <w:r>
        <w:rPr>
          <w:rFonts w:hint="eastAsia" w:ascii="宋体" w:cs="宋体"/>
          <w:sz w:val="24"/>
        </w:rPr>
        <w:t>、供应商应仔细阅读和检查招标文件的全部内容。如发现缺页或附件不全，应及时向招标人提出，以便补齐。如有疑问，应在供应商须知前附表规定的时间前在电子交易系统中提出，要求招标人对招标文件予以澄清。</w:t>
      </w:r>
    </w:p>
    <w:p>
      <w:pPr>
        <w:spacing w:line="360" w:lineRule="auto"/>
        <w:ind w:firstLine="480" w:firstLineChars="200"/>
        <w:rPr>
          <w:rFonts w:ascii="宋体" w:cs="宋体"/>
          <w:sz w:val="24"/>
        </w:rPr>
      </w:pPr>
      <w:r>
        <w:rPr>
          <w:rFonts w:ascii="宋体" w:cs="宋体"/>
          <w:sz w:val="24"/>
        </w:rPr>
        <w:t>7.2</w:t>
      </w:r>
      <w:r>
        <w:rPr>
          <w:rFonts w:hint="eastAsia" w:ascii="宋体" w:cs="宋体"/>
          <w:sz w:val="24"/>
        </w:rPr>
        <w:t>招标文件的澄清将在供应商须知前附表规定的投标截止时间</w:t>
      </w:r>
      <w:r>
        <w:rPr>
          <w:rFonts w:ascii="宋体" w:cs="宋体"/>
          <w:sz w:val="24"/>
        </w:rPr>
        <w:t>15</w:t>
      </w:r>
      <w:r>
        <w:rPr>
          <w:rFonts w:hint="eastAsia" w:ascii="宋体" w:cs="宋体"/>
          <w:sz w:val="24"/>
        </w:rPr>
        <w:t>天前在电子交易系统中予以澄清形式公示给所有购买招标文件的供应商，但不知名澄清问题的来源。如果澄清发出的时间距投标截止时间不足</w:t>
      </w:r>
      <w:r>
        <w:rPr>
          <w:rFonts w:ascii="宋体" w:cs="宋体"/>
          <w:sz w:val="24"/>
        </w:rPr>
        <w:t>15</w:t>
      </w:r>
      <w:r>
        <w:rPr>
          <w:rFonts w:hint="eastAsia" w:ascii="宋体" w:cs="宋体"/>
          <w:sz w:val="24"/>
        </w:rPr>
        <w:t>天的，相应延长投标截止时间。</w:t>
      </w:r>
    </w:p>
    <w:p>
      <w:pPr>
        <w:spacing w:before="156" w:beforeLines="50" w:after="156" w:afterLines="50" w:line="440" w:lineRule="exact"/>
        <w:jc w:val="center"/>
        <w:rPr>
          <w:rFonts w:ascii="宋体"/>
          <w:b/>
          <w:sz w:val="28"/>
          <w:szCs w:val="28"/>
        </w:rPr>
      </w:pPr>
      <w:r>
        <w:rPr>
          <w:rFonts w:hint="eastAsia" w:ascii="宋体" w:hAnsi="宋体"/>
          <w:b/>
          <w:sz w:val="28"/>
          <w:szCs w:val="28"/>
        </w:rPr>
        <w:t>（三）投标文件</w:t>
      </w:r>
    </w:p>
    <w:p>
      <w:pPr>
        <w:shd w:val="clear" w:color="auto" w:fill="FFFFFF"/>
        <w:snapToGrid w:val="0"/>
        <w:spacing w:after="120" w:line="440" w:lineRule="exact"/>
        <w:rPr>
          <w:rFonts w:ascii="宋体"/>
          <w:b/>
          <w:bCs/>
          <w:sz w:val="24"/>
        </w:rPr>
      </w:pPr>
      <w:r>
        <w:rPr>
          <w:rFonts w:ascii="宋体" w:hAnsi="宋体" w:cs="宋体"/>
          <w:b/>
          <w:kern w:val="0"/>
          <w:sz w:val="24"/>
        </w:rPr>
        <w:t>8</w:t>
      </w:r>
      <w:r>
        <w:rPr>
          <w:rFonts w:hint="eastAsia" w:ascii="宋体" w:hAnsi="宋体" w:cs="宋体"/>
          <w:b/>
          <w:kern w:val="0"/>
          <w:sz w:val="24"/>
        </w:rPr>
        <w:t>．投标文件的组成</w:t>
      </w:r>
    </w:p>
    <w:p>
      <w:pPr>
        <w:shd w:val="clear" w:color="auto" w:fill="FFFFFF"/>
        <w:snapToGrid w:val="0"/>
        <w:spacing w:line="440" w:lineRule="exact"/>
        <w:ind w:firstLine="480" w:firstLineChars="200"/>
        <w:rPr>
          <w:rFonts w:ascii="宋体"/>
          <w:sz w:val="24"/>
        </w:rPr>
      </w:pPr>
      <w:r>
        <w:rPr>
          <w:rFonts w:hint="eastAsia" w:ascii="宋体" w:hAnsi="宋体"/>
          <w:sz w:val="24"/>
        </w:rPr>
        <w:t>投标文件的内容：</w:t>
      </w:r>
    </w:p>
    <w:p>
      <w:pPr>
        <w:spacing w:line="360" w:lineRule="auto"/>
        <w:ind w:firstLine="480" w:firstLineChars="200"/>
        <w:rPr>
          <w:rFonts w:ascii="宋体" w:cs="宋体"/>
          <w:sz w:val="24"/>
        </w:rPr>
      </w:pPr>
      <w:r>
        <w:rPr>
          <w:rFonts w:hint="eastAsia" w:ascii="宋体" w:cs="宋体"/>
          <w:sz w:val="24"/>
        </w:rPr>
        <w:t>一</w:t>
      </w:r>
      <w:r>
        <w:rPr>
          <w:rFonts w:ascii="宋体" w:cs="宋体"/>
          <w:sz w:val="24"/>
        </w:rPr>
        <w:t>.</w:t>
      </w:r>
      <w:r>
        <w:rPr>
          <w:rFonts w:hint="eastAsia" w:ascii="宋体" w:cs="宋体"/>
          <w:sz w:val="24"/>
        </w:rPr>
        <w:t>投标函</w:t>
      </w:r>
    </w:p>
    <w:p>
      <w:pPr>
        <w:spacing w:line="360" w:lineRule="auto"/>
        <w:ind w:firstLine="480" w:firstLineChars="200"/>
        <w:rPr>
          <w:rFonts w:ascii="宋体" w:cs="宋体"/>
          <w:sz w:val="24"/>
        </w:rPr>
      </w:pPr>
      <w:r>
        <w:rPr>
          <w:rFonts w:hint="eastAsia" w:ascii="宋体" w:cs="宋体"/>
          <w:sz w:val="24"/>
        </w:rPr>
        <w:t>二</w:t>
      </w:r>
      <w:r>
        <w:rPr>
          <w:rFonts w:ascii="宋体" w:cs="宋体"/>
          <w:sz w:val="24"/>
        </w:rPr>
        <w:t>.</w:t>
      </w:r>
      <w:r>
        <w:rPr>
          <w:rFonts w:hint="eastAsia" w:ascii="宋体" w:cs="宋体"/>
          <w:sz w:val="24"/>
        </w:rPr>
        <w:t>投标报价一览表</w:t>
      </w:r>
    </w:p>
    <w:p>
      <w:pPr>
        <w:spacing w:line="360" w:lineRule="auto"/>
        <w:ind w:firstLine="480" w:firstLineChars="200"/>
        <w:rPr>
          <w:rFonts w:ascii="宋体" w:cs="宋体"/>
          <w:sz w:val="24"/>
        </w:rPr>
      </w:pPr>
      <w:r>
        <w:rPr>
          <w:rFonts w:hint="eastAsia" w:ascii="宋体" w:cs="宋体"/>
          <w:sz w:val="24"/>
        </w:rPr>
        <w:t>三</w:t>
      </w:r>
      <w:r>
        <w:rPr>
          <w:rFonts w:ascii="宋体" w:cs="宋体"/>
          <w:sz w:val="24"/>
        </w:rPr>
        <w:t>.</w:t>
      </w:r>
      <w:r>
        <w:rPr>
          <w:rFonts w:hint="eastAsia" w:ascii="宋体" w:cs="宋体"/>
          <w:sz w:val="24"/>
        </w:rPr>
        <w:t>分项报价表</w:t>
      </w:r>
    </w:p>
    <w:p>
      <w:pPr>
        <w:spacing w:line="360" w:lineRule="auto"/>
        <w:ind w:firstLine="480" w:firstLineChars="200"/>
        <w:rPr>
          <w:rFonts w:ascii="宋体" w:cs="宋体"/>
          <w:sz w:val="24"/>
        </w:rPr>
      </w:pPr>
      <w:r>
        <w:rPr>
          <w:rFonts w:hint="eastAsia" w:ascii="宋体" w:cs="宋体"/>
          <w:sz w:val="24"/>
        </w:rPr>
        <w:t>四</w:t>
      </w:r>
      <w:r>
        <w:rPr>
          <w:rFonts w:ascii="宋体" w:cs="宋体"/>
          <w:sz w:val="24"/>
        </w:rPr>
        <w:t>.</w:t>
      </w:r>
      <w:r>
        <w:rPr>
          <w:rFonts w:hint="eastAsia" w:ascii="宋体" w:cs="宋体"/>
          <w:sz w:val="24"/>
        </w:rPr>
        <w:t>偏离表</w:t>
      </w:r>
    </w:p>
    <w:p>
      <w:pPr>
        <w:spacing w:line="360" w:lineRule="auto"/>
        <w:ind w:firstLine="480" w:firstLineChars="200"/>
        <w:rPr>
          <w:rFonts w:ascii="宋体" w:cs="宋体"/>
          <w:sz w:val="24"/>
        </w:rPr>
      </w:pPr>
      <w:r>
        <w:rPr>
          <w:rFonts w:hint="eastAsia" w:ascii="宋体" w:cs="宋体"/>
          <w:sz w:val="24"/>
        </w:rPr>
        <w:t>五</w:t>
      </w:r>
      <w:r>
        <w:rPr>
          <w:rFonts w:ascii="宋体" w:cs="宋体"/>
          <w:sz w:val="24"/>
        </w:rPr>
        <w:t>.</w:t>
      </w:r>
      <w:r>
        <w:rPr>
          <w:rFonts w:hint="eastAsia" w:ascii="宋体" w:cs="宋体"/>
          <w:sz w:val="24"/>
        </w:rPr>
        <w:t>法定代表人身份证明及授权委托书</w:t>
      </w:r>
    </w:p>
    <w:p>
      <w:pPr>
        <w:spacing w:line="360" w:lineRule="auto"/>
        <w:ind w:firstLine="480" w:firstLineChars="200"/>
        <w:rPr>
          <w:rFonts w:ascii="宋体" w:cs="宋体"/>
          <w:sz w:val="24"/>
        </w:rPr>
      </w:pPr>
      <w:r>
        <w:rPr>
          <w:rFonts w:hint="eastAsia" w:ascii="宋体" w:cs="宋体"/>
          <w:sz w:val="24"/>
        </w:rPr>
        <w:t>六</w:t>
      </w:r>
      <w:r>
        <w:rPr>
          <w:rFonts w:ascii="宋体" w:cs="宋体"/>
          <w:sz w:val="24"/>
        </w:rPr>
        <w:t>.</w:t>
      </w:r>
      <w:r>
        <w:rPr>
          <w:rFonts w:hint="eastAsia" w:ascii="宋体" w:cs="宋体"/>
          <w:sz w:val="24"/>
        </w:rPr>
        <w:t>资格审查资料</w:t>
      </w:r>
    </w:p>
    <w:p>
      <w:pPr>
        <w:spacing w:line="360" w:lineRule="auto"/>
        <w:ind w:firstLine="480" w:firstLineChars="200"/>
        <w:rPr>
          <w:rFonts w:ascii="宋体" w:cs="宋体"/>
          <w:sz w:val="24"/>
        </w:rPr>
      </w:pPr>
      <w:r>
        <w:rPr>
          <w:rFonts w:hint="eastAsia" w:ascii="宋体" w:cs="宋体"/>
          <w:sz w:val="24"/>
        </w:rPr>
        <w:t>七</w:t>
      </w:r>
      <w:r>
        <w:rPr>
          <w:rFonts w:ascii="宋体" w:cs="宋体"/>
          <w:sz w:val="24"/>
        </w:rPr>
        <w:t>.</w:t>
      </w:r>
      <w:r>
        <w:rPr>
          <w:rFonts w:hint="eastAsia" w:ascii="宋体" w:cs="宋体"/>
          <w:sz w:val="24"/>
        </w:rPr>
        <w:t>其它资料</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9.</w:t>
      </w:r>
      <w:r>
        <w:rPr>
          <w:rFonts w:hint="eastAsia" w:ascii="宋体" w:hAnsi="宋体" w:cs="宋体"/>
          <w:b/>
          <w:kern w:val="0"/>
          <w:sz w:val="24"/>
        </w:rPr>
        <w:t>投标文件的澄清</w:t>
      </w:r>
    </w:p>
    <w:p>
      <w:pPr>
        <w:tabs>
          <w:tab w:val="left" w:pos="540"/>
        </w:tabs>
        <w:spacing w:line="440" w:lineRule="exact"/>
        <w:ind w:firstLine="495"/>
        <w:jc w:val="left"/>
        <w:rPr>
          <w:rFonts w:ascii="宋体" w:cs="宋体"/>
          <w:kern w:val="0"/>
          <w:sz w:val="24"/>
        </w:rPr>
      </w:pPr>
      <w:r>
        <w:rPr>
          <w:rFonts w:hint="eastAsia" w:ascii="宋体" w:hAnsi="宋体" w:cs="宋体"/>
          <w:kern w:val="0"/>
          <w:sz w:val="24"/>
        </w:rPr>
        <w:t>供应商应仔细阅读和检查投标文件的全部内容。如发现缺页或附件不全，应及时向招标人提出，以便补齐。</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10.</w:t>
      </w:r>
      <w:r>
        <w:rPr>
          <w:rFonts w:hint="eastAsia" w:ascii="宋体" w:hAnsi="宋体" w:cs="宋体"/>
          <w:b/>
          <w:kern w:val="0"/>
          <w:sz w:val="24"/>
        </w:rPr>
        <w:t>投标文件的修改</w:t>
      </w:r>
    </w:p>
    <w:p>
      <w:pPr>
        <w:widowControl/>
        <w:tabs>
          <w:tab w:val="left" w:pos="540"/>
        </w:tabs>
        <w:spacing w:line="440" w:lineRule="exact"/>
        <w:ind w:firstLine="495"/>
        <w:jc w:val="left"/>
        <w:rPr>
          <w:rFonts w:ascii="宋体" w:cs="宋体"/>
          <w:kern w:val="0"/>
          <w:sz w:val="24"/>
        </w:rPr>
      </w:pPr>
      <w:bookmarkStart w:id="27" w:name="_Toc152042324"/>
      <w:bookmarkStart w:id="28" w:name="_Toc152045548"/>
      <w:bookmarkStart w:id="29" w:name="_Toc179632566"/>
      <w:bookmarkStart w:id="30" w:name="_Toc144974516"/>
      <w:bookmarkStart w:id="31" w:name="_Toc292893113"/>
      <w:r>
        <w:rPr>
          <w:rFonts w:hint="eastAsia"/>
          <w:kern w:val="0"/>
          <w:sz w:val="24"/>
        </w:rPr>
        <w:t>投标文件的修改内容作为投标文件的组成部分，具有约束作用。</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11</w:t>
      </w:r>
      <w:r>
        <w:rPr>
          <w:rFonts w:hint="eastAsia" w:ascii="宋体" w:hAnsi="宋体" w:cs="宋体"/>
          <w:b/>
          <w:kern w:val="0"/>
          <w:sz w:val="24"/>
        </w:rPr>
        <w:t>．投标报价</w:t>
      </w:r>
      <w:bookmarkEnd w:id="27"/>
      <w:bookmarkEnd w:id="28"/>
      <w:bookmarkEnd w:id="29"/>
      <w:bookmarkEnd w:id="30"/>
      <w:bookmarkEnd w:id="31"/>
    </w:p>
    <w:p>
      <w:pPr>
        <w:widowControl/>
        <w:tabs>
          <w:tab w:val="left" w:pos="540"/>
        </w:tabs>
        <w:spacing w:line="440" w:lineRule="exact"/>
        <w:ind w:firstLine="495"/>
        <w:jc w:val="left"/>
        <w:rPr>
          <w:rFonts w:ascii="宋体" w:cs="宋体"/>
          <w:kern w:val="0"/>
          <w:sz w:val="24"/>
        </w:rPr>
      </w:pPr>
      <w:r>
        <w:rPr>
          <w:rFonts w:ascii="宋体" w:hAnsi="宋体" w:cs="宋体"/>
          <w:kern w:val="0"/>
          <w:sz w:val="24"/>
        </w:rPr>
        <w:t>11.1</w:t>
      </w:r>
      <w:r>
        <w:rPr>
          <w:rFonts w:hint="eastAsia" w:ascii="宋体" w:hAnsi="宋体" w:cs="宋体"/>
          <w:kern w:val="0"/>
          <w:sz w:val="24"/>
        </w:rPr>
        <w:t>供应商必须对采购及安装内容进行完整报价。</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11.2</w:t>
      </w:r>
      <w:r>
        <w:rPr>
          <w:rFonts w:hint="eastAsia" w:ascii="宋体" w:hAnsi="宋体" w:cs="宋体"/>
          <w:kern w:val="0"/>
          <w:sz w:val="24"/>
        </w:rPr>
        <w:t>供应商所报的投标报价在合同执行过程中是固定不变的，不得以任何理由予以变更。任何包含价格调整的要求的投标，将被认为是非响应性投标而被拒绝。</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11.3</w:t>
      </w:r>
      <w:r>
        <w:rPr>
          <w:rFonts w:hint="eastAsia" w:ascii="宋体" w:hAnsi="宋体" w:cs="宋体"/>
          <w:kern w:val="0"/>
          <w:sz w:val="24"/>
        </w:rPr>
        <w:t>供应商不得以低于成本的报价竞标，最低报价不作为中标的保证。</w:t>
      </w:r>
    </w:p>
    <w:p>
      <w:pPr>
        <w:numPr>
          <w:ilvl w:val="0"/>
          <w:numId w:val="2"/>
        </w:numPr>
        <w:adjustRightInd w:val="0"/>
        <w:snapToGrid w:val="0"/>
        <w:spacing w:before="156" w:beforeLines="50" w:after="156" w:afterLines="50" w:line="440" w:lineRule="exact"/>
        <w:jc w:val="left"/>
        <w:rPr>
          <w:rFonts w:ascii="宋体" w:cs="宋体"/>
          <w:b/>
          <w:kern w:val="0"/>
          <w:sz w:val="24"/>
        </w:rPr>
      </w:pPr>
      <w:r>
        <w:rPr>
          <w:rFonts w:hint="eastAsia" w:ascii="宋体" w:hAnsi="宋体" w:cs="宋体"/>
          <w:b/>
          <w:kern w:val="0"/>
          <w:sz w:val="24"/>
        </w:rPr>
        <w:t>投标有效期</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12.1</w:t>
      </w:r>
      <w:r>
        <w:rPr>
          <w:rFonts w:hint="eastAsia" w:ascii="宋体" w:hAnsi="宋体" w:cs="宋体"/>
          <w:kern w:val="0"/>
          <w:sz w:val="24"/>
        </w:rPr>
        <w:t>在供应商须知前附表规定的投标有效期内，供应商不得要求撤销或修改其投标文件。</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12.2 </w:t>
      </w:r>
      <w:r>
        <w:rPr>
          <w:rFonts w:hint="eastAsia" w:ascii="宋体" w:hAnsi="宋体" w:cs="宋体"/>
          <w:kern w:val="0"/>
          <w:sz w:val="24"/>
        </w:rPr>
        <w:t>出现特殊情况需要延长投标有效期的，招标人以书面形式通知所有供应商延长投标有效期。供应商同意延长的，应相应延长其投标保证金的有效期，但不得要求或被允许修改或撤销其投标文件；供应商拒绝延长的，其投标失效，但供应商有权收回其投标保证金。在延长期内，本须知关于投标保证金的退还与没收的规定仍然适用。</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13.</w:t>
      </w:r>
      <w:r>
        <w:rPr>
          <w:rFonts w:hint="eastAsia" w:ascii="宋体" w:hAnsi="宋体" w:cs="宋体"/>
          <w:b/>
          <w:kern w:val="0"/>
          <w:sz w:val="24"/>
        </w:rPr>
        <w:t>投标保证金（不适用）</w:t>
      </w:r>
    </w:p>
    <w:p>
      <w:pPr>
        <w:widowControl/>
        <w:tabs>
          <w:tab w:val="left" w:pos="540"/>
        </w:tabs>
        <w:spacing w:line="440" w:lineRule="exact"/>
        <w:ind w:firstLine="480" w:firstLineChars="200"/>
        <w:jc w:val="left"/>
        <w:rPr>
          <w:rFonts w:ascii="宋体" w:cs="宋体"/>
          <w:kern w:val="0"/>
          <w:sz w:val="24"/>
        </w:rPr>
      </w:pPr>
      <w:r>
        <w:rPr>
          <w:rFonts w:ascii="宋体" w:hAnsi="宋体" w:cs="宋体"/>
          <w:kern w:val="0"/>
          <w:sz w:val="24"/>
        </w:rPr>
        <w:t xml:space="preserve">13.1 </w:t>
      </w:r>
      <w:r>
        <w:rPr>
          <w:rFonts w:hint="eastAsia" w:ascii="宋体" w:hAnsi="宋体" w:cs="宋体"/>
          <w:kern w:val="0"/>
          <w:sz w:val="24"/>
        </w:rPr>
        <w:t>供应商在递交投标文件的同时，应按供应商须知前附表第</w:t>
      </w:r>
      <w:r>
        <w:rPr>
          <w:rFonts w:ascii="宋体" w:hAnsi="宋体" w:cs="宋体"/>
          <w:kern w:val="0"/>
          <w:sz w:val="24"/>
        </w:rPr>
        <w:t>1</w:t>
      </w:r>
      <w:r>
        <w:rPr>
          <w:rFonts w:hint="eastAsia" w:ascii="宋体" w:hAnsi="宋体" w:cs="宋体"/>
          <w:kern w:val="0"/>
          <w:sz w:val="24"/>
        </w:rPr>
        <w:t>5项规定递交投标保证金。</w:t>
      </w:r>
    </w:p>
    <w:p>
      <w:pPr>
        <w:widowControl/>
        <w:tabs>
          <w:tab w:val="left" w:pos="540"/>
        </w:tabs>
        <w:spacing w:line="440" w:lineRule="exact"/>
        <w:ind w:firstLine="480" w:firstLineChars="200"/>
        <w:jc w:val="left"/>
        <w:rPr>
          <w:rFonts w:ascii="宋体" w:cs="宋体"/>
          <w:kern w:val="0"/>
          <w:sz w:val="24"/>
        </w:rPr>
      </w:pPr>
      <w:r>
        <w:rPr>
          <w:rFonts w:ascii="宋体" w:hAnsi="宋体" w:cs="宋体"/>
          <w:kern w:val="0"/>
          <w:sz w:val="24"/>
        </w:rPr>
        <w:t xml:space="preserve">13.2 </w:t>
      </w:r>
      <w:r>
        <w:rPr>
          <w:rFonts w:hint="eastAsia" w:ascii="宋体" w:hAnsi="宋体" w:cs="宋体"/>
          <w:kern w:val="0"/>
          <w:sz w:val="24"/>
        </w:rPr>
        <w:t>供应商不按要求提交投标保证金的，其投标文件作废标处理。</w:t>
      </w:r>
    </w:p>
    <w:p>
      <w:pPr>
        <w:widowControl/>
        <w:tabs>
          <w:tab w:val="left" w:pos="540"/>
        </w:tabs>
        <w:spacing w:line="440" w:lineRule="exact"/>
        <w:ind w:firstLine="480" w:firstLineChars="200"/>
        <w:jc w:val="left"/>
        <w:rPr>
          <w:rFonts w:ascii="宋体" w:cs="宋体"/>
          <w:kern w:val="0"/>
          <w:sz w:val="24"/>
        </w:rPr>
      </w:pPr>
      <w:r>
        <w:rPr>
          <w:rFonts w:ascii="宋体" w:hAnsi="宋体" w:cs="宋体"/>
          <w:kern w:val="0"/>
          <w:sz w:val="24"/>
        </w:rPr>
        <w:t>13.3</w:t>
      </w:r>
      <w:r>
        <w:rPr>
          <w:rFonts w:hint="eastAsia" w:ascii="宋体" w:hAnsi="宋体" w:cs="宋体"/>
          <w:kern w:val="0"/>
          <w:sz w:val="24"/>
        </w:rPr>
        <w:t>有下列情形之一的，投标保证金将不予退还：</w:t>
      </w:r>
    </w:p>
    <w:p>
      <w:pPr>
        <w:tabs>
          <w:tab w:val="left" w:pos="735"/>
        </w:tabs>
        <w:adjustRightInd w:val="0"/>
        <w:snapToGrid w:val="0"/>
        <w:spacing w:line="440" w:lineRule="exact"/>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）在投标有效期内，报价人撤回其投标的；</w:t>
      </w:r>
    </w:p>
    <w:p>
      <w:pPr>
        <w:tabs>
          <w:tab w:val="left" w:pos="735"/>
        </w:tabs>
        <w:adjustRightInd w:val="0"/>
        <w:snapToGrid w:val="0"/>
        <w:spacing w:line="440" w:lineRule="exact"/>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）非因不可抗力而放弃中标的；</w:t>
      </w:r>
    </w:p>
    <w:p>
      <w:pPr>
        <w:tabs>
          <w:tab w:val="left" w:pos="735"/>
        </w:tabs>
        <w:adjustRightInd w:val="0"/>
        <w:snapToGrid w:val="0"/>
        <w:spacing w:line="440" w:lineRule="exact"/>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）成交后无正当理由在接到成交通知书</w:t>
      </w:r>
      <w:r>
        <w:rPr>
          <w:rFonts w:ascii="宋体" w:hAnsi="宋体" w:cs="宋体"/>
          <w:kern w:val="0"/>
          <w:sz w:val="24"/>
        </w:rPr>
        <w:t>30</w:t>
      </w:r>
      <w:r>
        <w:rPr>
          <w:rFonts w:hint="eastAsia" w:ascii="宋体" w:hAnsi="宋体" w:cs="宋体"/>
          <w:kern w:val="0"/>
          <w:sz w:val="24"/>
        </w:rPr>
        <w:t>日内未能与招标人签订合同的；</w:t>
      </w:r>
    </w:p>
    <w:p>
      <w:pPr>
        <w:pStyle w:val="9"/>
        <w:adjustRightInd w:val="0"/>
        <w:snapToGrid w:val="0"/>
        <w:spacing w:line="440" w:lineRule="exact"/>
        <w:ind w:firstLine="480" w:firstLineChars="200"/>
        <w:rPr>
          <w:rFonts w:hAnsi="宋体" w:cs="宋体"/>
          <w:kern w:val="0"/>
        </w:rPr>
      </w:pPr>
      <w:r>
        <w:rPr>
          <w:rFonts w:hint="eastAsia" w:hAnsi="宋体" w:cs="宋体"/>
          <w:kern w:val="0"/>
        </w:rPr>
        <w:t>（</w:t>
      </w:r>
      <w:r>
        <w:rPr>
          <w:rFonts w:hAnsi="宋体" w:cs="宋体"/>
          <w:kern w:val="0"/>
        </w:rPr>
        <w:t>4</w:t>
      </w:r>
      <w:r>
        <w:rPr>
          <w:rFonts w:hint="eastAsia" w:hAnsi="宋体" w:cs="宋体"/>
          <w:kern w:val="0"/>
        </w:rPr>
        <w:t>）中标后未按规定缴付中标服务费的；</w:t>
      </w:r>
    </w:p>
    <w:p>
      <w:pPr>
        <w:pStyle w:val="9"/>
        <w:adjustRightInd w:val="0"/>
        <w:snapToGrid w:val="0"/>
        <w:spacing w:line="440" w:lineRule="exact"/>
        <w:ind w:firstLine="480" w:firstLineChars="200"/>
        <w:rPr>
          <w:rFonts w:hAnsi="宋体" w:cs="宋体"/>
          <w:kern w:val="0"/>
        </w:rPr>
      </w:pPr>
      <w:r>
        <w:rPr>
          <w:rFonts w:hint="eastAsia" w:hAnsi="宋体" w:cs="宋体"/>
          <w:kern w:val="0"/>
        </w:rPr>
        <w:t>（</w:t>
      </w:r>
      <w:r>
        <w:rPr>
          <w:rFonts w:hAnsi="宋体" w:cs="宋体"/>
          <w:kern w:val="0"/>
        </w:rPr>
        <w:t>5</w:t>
      </w:r>
      <w:r>
        <w:rPr>
          <w:rFonts w:hint="eastAsia" w:hAnsi="宋体" w:cs="宋体"/>
          <w:kern w:val="0"/>
        </w:rPr>
        <w:t>）将成交项目转让给他人，或者在投标文件中未说明，且未经招标人同意，违反投标文件规定，将成交项目分包给他人的；</w:t>
      </w:r>
    </w:p>
    <w:p>
      <w:pPr>
        <w:pStyle w:val="9"/>
        <w:adjustRightInd w:val="0"/>
        <w:snapToGrid w:val="0"/>
        <w:spacing w:line="440" w:lineRule="exact"/>
        <w:ind w:firstLine="480" w:firstLineChars="200"/>
        <w:rPr>
          <w:rFonts w:hAnsi="宋体" w:cs="宋体"/>
          <w:kern w:val="0"/>
        </w:rPr>
      </w:pPr>
      <w:r>
        <w:rPr>
          <w:rFonts w:hint="eastAsia" w:hAnsi="宋体" w:cs="宋体"/>
          <w:kern w:val="0"/>
        </w:rPr>
        <w:t>（</w:t>
      </w:r>
      <w:r>
        <w:rPr>
          <w:rFonts w:hAnsi="宋体" w:cs="宋体"/>
          <w:kern w:val="0"/>
        </w:rPr>
        <w:t>6</w:t>
      </w:r>
      <w:r>
        <w:rPr>
          <w:rFonts w:hint="eastAsia" w:hAnsi="宋体" w:cs="宋体"/>
          <w:kern w:val="0"/>
        </w:rPr>
        <w:t>）法律法规禁止的其他情形。</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14.</w:t>
      </w:r>
      <w:r>
        <w:rPr>
          <w:rFonts w:hint="eastAsia" w:ascii="宋体" w:hAnsi="宋体" w:cs="宋体"/>
          <w:b/>
          <w:kern w:val="0"/>
          <w:sz w:val="24"/>
        </w:rPr>
        <w:t>资格审查资料</w:t>
      </w:r>
    </w:p>
    <w:p>
      <w:pPr>
        <w:spacing w:line="430" w:lineRule="exact"/>
        <w:ind w:firstLine="480" w:firstLineChars="200"/>
        <w:rPr>
          <w:rFonts w:ascii="宋体" w:cs="宋体"/>
          <w:color w:val="FF0000"/>
          <w:sz w:val="24"/>
        </w:rPr>
      </w:pPr>
      <w:bookmarkStart w:id="32" w:name="_Toc292893118"/>
      <w:bookmarkStart w:id="33" w:name="_Toc179632572"/>
      <w:bookmarkStart w:id="34" w:name="_Toc152042330"/>
      <w:bookmarkStart w:id="35" w:name="_Toc152045554"/>
      <w:bookmarkStart w:id="36" w:name="_Toc144974522"/>
      <w:r>
        <w:rPr>
          <w:rFonts w:hint="eastAsia" w:ascii="宋体" w:cs="宋体"/>
          <w:sz w:val="24"/>
        </w:rPr>
        <w:t>供应商在编制投标文件时，应按要求提供资格审查资料，以证实其各项资格条件仍能继续满足招标文件的要求，具备承担本项目的资质条件、能力和信誉。</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15.</w:t>
      </w:r>
      <w:r>
        <w:rPr>
          <w:rFonts w:hint="eastAsia" w:ascii="宋体" w:hAnsi="宋体" w:cs="宋体"/>
          <w:b/>
          <w:kern w:val="0"/>
          <w:sz w:val="24"/>
        </w:rPr>
        <w:t>投标文件的编制</w:t>
      </w:r>
      <w:bookmarkEnd w:id="32"/>
      <w:bookmarkEnd w:id="33"/>
      <w:bookmarkEnd w:id="34"/>
      <w:bookmarkEnd w:id="35"/>
      <w:bookmarkEnd w:id="36"/>
    </w:p>
    <w:p>
      <w:pPr>
        <w:spacing w:line="440" w:lineRule="exact"/>
        <w:ind w:firstLine="480" w:firstLineChars="200"/>
        <w:jc w:val="left"/>
        <w:rPr>
          <w:rFonts w:ascii="宋体" w:cs="宋体"/>
          <w:kern w:val="0"/>
          <w:sz w:val="24"/>
        </w:rPr>
      </w:pPr>
      <w:r>
        <w:rPr>
          <w:rFonts w:ascii="宋体" w:hAnsi="宋体" w:cs="宋体"/>
          <w:kern w:val="0"/>
          <w:sz w:val="24"/>
        </w:rPr>
        <w:t>15.1</w:t>
      </w:r>
      <w:r>
        <w:rPr>
          <w:rFonts w:hint="eastAsia" w:ascii="宋体" w:hAnsi="宋体" w:cs="宋体"/>
          <w:kern w:val="0"/>
          <w:sz w:val="24"/>
        </w:rPr>
        <w:t>投标文件应按第六章“投标文件格式”进行编写，如有必要，可以增加附页，作为投标文件的组成部分。投标函在满足招标文件实质性要求的基础上，可以提出比招标文件要求更有利于招标人的承诺。</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15.</w:t>
      </w:r>
      <w:r>
        <w:rPr>
          <w:rFonts w:hint="eastAsia" w:ascii="宋体" w:hAnsi="宋体" w:cs="宋体"/>
          <w:kern w:val="0"/>
          <w:sz w:val="24"/>
        </w:rPr>
        <w:t>2</w:t>
      </w:r>
      <w:r>
        <w:rPr>
          <w:rFonts w:ascii="宋体" w:hAnsi="宋体" w:cs="宋体"/>
          <w:kern w:val="0"/>
          <w:sz w:val="24"/>
        </w:rPr>
        <w:t xml:space="preserve"> </w:t>
      </w:r>
      <w:r>
        <w:rPr>
          <w:rFonts w:hint="eastAsia" w:ascii="宋体" w:hAnsi="宋体" w:cs="宋体"/>
          <w:kern w:val="0"/>
          <w:sz w:val="24"/>
        </w:rPr>
        <w:t>投标文件封面、投标函均应加盖供应商印章并经法定代表人或其委托代理人签字或盖章。由委托代理人签字或盖章的，在投标文件中须同时提交投标文件签署授权委托书。投标文件签署授权委托书格式、签字、盖章及内容均应符合要求，否则投标文件签署授权委托书无效。</w:t>
      </w:r>
    </w:p>
    <w:p>
      <w:pPr>
        <w:adjustRightInd w:val="0"/>
        <w:snapToGrid w:val="0"/>
        <w:spacing w:before="156" w:beforeLines="50" w:after="156" w:afterLines="50" w:line="440" w:lineRule="exact"/>
        <w:jc w:val="left"/>
        <w:rPr>
          <w:rFonts w:ascii="宋体"/>
          <w:b/>
          <w:bCs/>
          <w:sz w:val="24"/>
        </w:rPr>
      </w:pPr>
      <w:r>
        <w:rPr>
          <w:rFonts w:ascii="宋体" w:hAnsi="宋体" w:cs="宋体"/>
          <w:b/>
          <w:kern w:val="0"/>
          <w:sz w:val="24"/>
        </w:rPr>
        <w:t>16</w:t>
      </w:r>
      <w:r>
        <w:rPr>
          <w:rFonts w:hint="eastAsia" w:ascii="宋体" w:hAnsi="宋体" w:cs="宋体"/>
          <w:b/>
          <w:kern w:val="0"/>
          <w:sz w:val="24"/>
        </w:rPr>
        <w:t>．投标文件格式</w:t>
      </w:r>
    </w:p>
    <w:p>
      <w:pPr>
        <w:shd w:val="clear" w:color="auto" w:fill="FFFFFF"/>
        <w:tabs>
          <w:tab w:val="left" w:pos="7665"/>
        </w:tabs>
        <w:snapToGrid w:val="0"/>
        <w:spacing w:line="440" w:lineRule="exact"/>
        <w:ind w:left="13" w:leftChars="6" w:firstLine="480" w:firstLineChars="200"/>
        <w:rPr>
          <w:rFonts w:ascii="宋体"/>
          <w:sz w:val="24"/>
        </w:rPr>
      </w:pPr>
      <w:r>
        <w:rPr>
          <w:rFonts w:ascii="宋体" w:hAnsi="宋体"/>
          <w:sz w:val="24"/>
        </w:rPr>
        <w:t xml:space="preserve">16.1 </w:t>
      </w:r>
      <w:r>
        <w:rPr>
          <w:rFonts w:hint="eastAsia" w:ascii="宋体" w:hAnsi="宋体"/>
          <w:sz w:val="24"/>
        </w:rPr>
        <w:t>供应商应严格按照招标文件中提供的</w:t>
      </w:r>
      <w:r>
        <w:rPr>
          <w:rFonts w:hint="eastAsia" w:ascii="宋体" w:hAnsi="宋体" w:cs="宋体"/>
          <w:kern w:val="0"/>
          <w:sz w:val="24"/>
        </w:rPr>
        <w:t>第六章</w:t>
      </w:r>
      <w:r>
        <w:rPr>
          <w:rFonts w:hint="eastAsia" w:ascii="宋体" w:hAnsi="宋体"/>
          <w:sz w:val="24"/>
        </w:rPr>
        <w:t>“投标文件格式”填写相关内容。否则，将影响投标文件得分。第六</w:t>
      </w:r>
      <w:r>
        <w:rPr>
          <w:rFonts w:hint="eastAsia" w:ascii="宋体" w:hAnsi="宋体" w:cs="宋体"/>
          <w:kern w:val="0"/>
          <w:sz w:val="24"/>
        </w:rPr>
        <w:t>章</w:t>
      </w:r>
      <w:r>
        <w:rPr>
          <w:rFonts w:hint="eastAsia" w:ascii="宋体" w:hAnsi="宋体"/>
          <w:sz w:val="24"/>
        </w:rPr>
        <w:t>“投标文件格式”规定之外允许供应商可以自行编写。</w:t>
      </w:r>
    </w:p>
    <w:p>
      <w:pPr>
        <w:shd w:val="clear" w:color="auto" w:fill="FFFFFF"/>
        <w:tabs>
          <w:tab w:val="left" w:pos="7665"/>
        </w:tabs>
        <w:snapToGrid w:val="0"/>
        <w:spacing w:line="440" w:lineRule="exact"/>
        <w:ind w:left="13" w:leftChars="6" w:firstLine="480" w:firstLineChars="200"/>
        <w:rPr>
          <w:rFonts w:ascii="宋体"/>
          <w:sz w:val="24"/>
        </w:rPr>
      </w:pPr>
      <w:r>
        <w:rPr>
          <w:rFonts w:ascii="宋体" w:hAnsi="宋体"/>
          <w:sz w:val="24"/>
        </w:rPr>
        <w:t xml:space="preserve">16.2 </w:t>
      </w:r>
      <w:r>
        <w:rPr>
          <w:rFonts w:hint="eastAsia" w:ascii="宋体" w:hAnsi="宋体"/>
          <w:sz w:val="24"/>
        </w:rPr>
        <w:t>对于没有格式要求的投标文件由供应商自行编写。</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17</w:t>
      </w:r>
      <w:r>
        <w:rPr>
          <w:rFonts w:hint="eastAsia" w:ascii="宋体" w:hAnsi="宋体" w:cs="宋体"/>
          <w:b/>
          <w:kern w:val="0"/>
          <w:sz w:val="24"/>
        </w:rPr>
        <w:t>．投标有效期</w:t>
      </w:r>
    </w:p>
    <w:p>
      <w:pPr>
        <w:shd w:val="clear" w:color="auto" w:fill="FFFFFF"/>
        <w:tabs>
          <w:tab w:val="left" w:pos="7665"/>
        </w:tabs>
        <w:snapToGrid w:val="0"/>
        <w:spacing w:line="440" w:lineRule="exact"/>
        <w:ind w:left="13" w:leftChars="6" w:firstLine="480" w:firstLineChars="200"/>
        <w:rPr>
          <w:rFonts w:ascii="宋体"/>
          <w:sz w:val="24"/>
        </w:rPr>
      </w:pPr>
      <w:r>
        <w:rPr>
          <w:rFonts w:ascii="宋体" w:hAnsi="宋体"/>
          <w:sz w:val="24"/>
        </w:rPr>
        <w:t xml:space="preserve">17.1 </w:t>
      </w:r>
      <w:r>
        <w:rPr>
          <w:rFonts w:hint="eastAsia" w:ascii="宋体" w:hAnsi="宋体"/>
          <w:sz w:val="24"/>
        </w:rPr>
        <w:t>投标有效期见供应商须知前附表。投标有效期短于此规定期限的投标，将被拒绝。</w:t>
      </w:r>
    </w:p>
    <w:p>
      <w:pPr>
        <w:shd w:val="clear" w:color="auto" w:fill="FFFFFF"/>
        <w:tabs>
          <w:tab w:val="left" w:pos="7665"/>
        </w:tabs>
        <w:snapToGrid w:val="0"/>
        <w:spacing w:line="440" w:lineRule="exact"/>
        <w:ind w:left="13" w:leftChars="6" w:firstLine="360" w:firstLineChars="150"/>
        <w:rPr>
          <w:rFonts w:ascii="宋体"/>
          <w:sz w:val="24"/>
        </w:rPr>
      </w:pPr>
      <w:r>
        <w:rPr>
          <w:rFonts w:ascii="宋体" w:hAnsi="宋体"/>
          <w:sz w:val="24"/>
        </w:rPr>
        <w:t xml:space="preserve"> 17.2 </w:t>
      </w:r>
      <w:r>
        <w:rPr>
          <w:rFonts w:hint="eastAsia" w:ascii="宋体" w:hAnsi="宋体"/>
          <w:sz w:val="24"/>
        </w:rPr>
        <w:t>特殊情况下，招标人可于投标有效期满之前要求供应商同意延长有效期，要求与答复均应为书面形式。拒绝延长投标有效期的供应商不得再参与该项目后续采购活动。同意延长投标有效期的供应商不能修改其投标文件。</w:t>
      </w:r>
    </w:p>
    <w:p>
      <w:pPr>
        <w:spacing w:before="156" w:beforeLines="50" w:after="156" w:afterLines="50" w:line="440" w:lineRule="exact"/>
        <w:jc w:val="center"/>
        <w:rPr>
          <w:rFonts w:ascii="宋体"/>
          <w:b/>
          <w:sz w:val="28"/>
          <w:szCs w:val="28"/>
        </w:rPr>
      </w:pPr>
      <w:r>
        <w:rPr>
          <w:rFonts w:hint="eastAsia" w:ascii="宋体" w:hAnsi="宋体"/>
          <w:b/>
          <w:sz w:val="28"/>
          <w:szCs w:val="28"/>
        </w:rPr>
        <w:t>（四）投标</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 xml:space="preserve">19. </w:t>
      </w:r>
      <w:r>
        <w:rPr>
          <w:rFonts w:hint="eastAsia" w:ascii="宋体" w:hAnsi="宋体" w:cs="宋体"/>
          <w:b/>
          <w:kern w:val="0"/>
          <w:sz w:val="24"/>
        </w:rPr>
        <w:t>投标文件的密封和标注</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19.1</w:t>
      </w:r>
      <w:r>
        <w:rPr>
          <w:rFonts w:hint="eastAsia" w:ascii="宋体" w:hAnsi="宋体" w:cs="宋体"/>
          <w:kern w:val="0"/>
          <w:sz w:val="24"/>
        </w:rPr>
        <w:t>供应商应在供应商须知前附表规定的投标截止时间前保存上传成功投标文件。</w:t>
      </w:r>
    </w:p>
    <w:p>
      <w:pPr>
        <w:widowControl/>
        <w:tabs>
          <w:tab w:val="left" w:pos="540"/>
        </w:tabs>
        <w:spacing w:line="440" w:lineRule="exact"/>
        <w:ind w:firstLine="495"/>
        <w:jc w:val="left"/>
        <w:rPr>
          <w:rFonts w:ascii="宋体" w:cs="宋体"/>
          <w:kern w:val="0"/>
          <w:sz w:val="24"/>
        </w:rPr>
      </w:pPr>
      <w:r>
        <w:rPr>
          <w:rFonts w:hint="eastAsia" w:ascii="宋体" w:hAnsi="宋体" w:cs="宋体"/>
          <w:kern w:val="0"/>
          <w:sz w:val="24"/>
        </w:rPr>
        <w:t>19.2电子文档应密封在一个密封包内，</w:t>
      </w:r>
      <w:r>
        <w:rPr>
          <w:rFonts w:hint="eastAsia"/>
          <w:sz w:val="24"/>
        </w:rPr>
        <w:t>密封后均加贴密封条，</w:t>
      </w:r>
      <w:r>
        <w:rPr>
          <w:rFonts w:hint="eastAsia" w:ascii="宋体" w:hAnsi="宋体" w:cs="宋体"/>
          <w:kern w:val="0"/>
          <w:sz w:val="24"/>
        </w:rPr>
        <w:t>封口处加盖供应商公章，封套上应写明的内容见供应商须知前附表第</w:t>
      </w:r>
      <w:r>
        <w:rPr>
          <w:rFonts w:ascii="宋体" w:hAnsi="宋体" w:cs="宋体"/>
          <w:kern w:val="0"/>
          <w:sz w:val="24"/>
        </w:rPr>
        <w:t>1</w:t>
      </w:r>
      <w:r>
        <w:rPr>
          <w:rFonts w:hint="eastAsia" w:ascii="宋体" w:hAnsi="宋体" w:cs="宋体"/>
          <w:kern w:val="0"/>
          <w:sz w:val="24"/>
        </w:rPr>
        <w:t>9项。</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19.</w:t>
      </w:r>
      <w:r>
        <w:rPr>
          <w:rFonts w:hint="eastAsia" w:ascii="宋体" w:hAnsi="宋体" w:cs="宋体"/>
          <w:kern w:val="0"/>
          <w:sz w:val="24"/>
        </w:rPr>
        <w:t>3未按要求密封和加写标记的投标文件电子版，招标人将不承担投标文件提前开封的责任。对由此造成提前开封的投标文件将予以拒绝，并退还给供应商。</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20</w:t>
      </w:r>
      <w:r>
        <w:rPr>
          <w:rFonts w:hint="eastAsia" w:ascii="宋体" w:hAnsi="宋体" w:cs="宋体"/>
          <w:b/>
          <w:kern w:val="0"/>
          <w:sz w:val="24"/>
        </w:rPr>
        <w:t>．投标文件的递交</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20.1 </w:t>
      </w:r>
      <w:r>
        <w:rPr>
          <w:rFonts w:hint="eastAsia" w:ascii="宋体" w:hAnsi="宋体" w:cs="宋体"/>
          <w:kern w:val="0"/>
          <w:sz w:val="24"/>
        </w:rPr>
        <w:t>供应商应在本须知前附表规定的地点，于投标截止时间前递交投标文件。</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20.2 </w:t>
      </w:r>
      <w:r>
        <w:rPr>
          <w:rFonts w:hint="eastAsia" w:ascii="宋体" w:hAnsi="宋体" w:cs="宋体"/>
          <w:kern w:val="0"/>
          <w:sz w:val="24"/>
        </w:rPr>
        <w:t>供应商所递交的投标文件不予退还。</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20.3 </w:t>
      </w:r>
      <w:r>
        <w:rPr>
          <w:rFonts w:hint="eastAsia" w:ascii="宋体" w:hAnsi="宋体" w:cs="宋体"/>
          <w:kern w:val="0"/>
          <w:sz w:val="24"/>
        </w:rPr>
        <w:t>供应商递交投标文件时要填写递交投标文件确认表。</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20.4 </w:t>
      </w:r>
      <w:r>
        <w:rPr>
          <w:rFonts w:hint="eastAsia" w:ascii="宋体" w:hAnsi="宋体" w:cs="宋体"/>
          <w:kern w:val="0"/>
          <w:sz w:val="24"/>
        </w:rPr>
        <w:t>逾期送达的或者未送达指定地点的投标文件，招标人不予受理。</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21</w:t>
      </w:r>
      <w:r>
        <w:rPr>
          <w:rFonts w:hint="eastAsia" w:ascii="宋体" w:hAnsi="宋体" w:cs="宋体"/>
          <w:b/>
          <w:kern w:val="0"/>
          <w:sz w:val="24"/>
        </w:rPr>
        <w:t>．投标文件的修改和撤回</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21.1</w:t>
      </w:r>
      <w:r>
        <w:rPr>
          <w:rFonts w:hint="eastAsia" w:ascii="宋体" w:hAnsi="宋体" w:cs="宋体"/>
          <w:kern w:val="0"/>
          <w:sz w:val="24"/>
        </w:rPr>
        <w:t>在本供应商须知前附表第10项规定的投标截止时间前，供应商可以修改或撤回已递交的投标文件，但应以书面形式通知招标人。</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21.2</w:t>
      </w:r>
      <w:r>
        <w:rPr>
          <w:rFonts w:hint="eastAsia" w:ascii="宋体" w:hAnsi="宋体" w:cs="宋体"/>
          <w:kern w:val="0"/>
          <w:sz w:val="24"/>
        </w:rPr>
        <w:t>供应商修改或撤回已递交投标文件的书面通知应按照本须知要求签字或盖章。修改的内容为投标文件的组成部分。修改的投标文件应按照本须知规定进行编制、密封、标识和递交，并在内外层投标文件密封袋上清楚标明“修改”字样。</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21.3</w:t>
      </w:r>
      <w:r>
        <w:rPr>
          <w:rFonts w:hint="eastAsia" w:ascii="宋体" w:hAnsi="宋体" w:cs="宋体"/>
          <w:kern w:val="0"/>
          <w:sz w:val="24"/>
        </w:rPr>
        <w:t>在投标截止日期之后，供应商不得补充、修改投标文件。</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21.4</w:t>
      </w:r>
      <w:r>
        <w:rPr>
          <w:rFonts w:hint="eastAsia" w:ascii="宋体" w:hAnsi="宋体" w:cs="宋体"/>
          <w:kern w:val="0"/>
          <w:sz w:val="24"/>
        </w:rPr>
        <w:t>在投标截止时间至投标有效期满之前，供应商不得撤回其投标文件。</w:t>
      </w:r>
    </w:p>
    <w:p>
      <w:pPr>
        <w:spacing w:before="156" w:beforeLines="50" w:after="156" w:afterLines="50" w:line="440" w:lineRule="exact"/>
        <w:jc w:val="center"/>
        <w:rPr>
          <w:rFonts w:ascii="宋体"/>
          <w:b/>
          <w:sz w:val="28"/>
          <w:szCs w:val="28"/>
        </w:rPr>
      </w:pPr>
      <w:bookmarkStart w:id="37" w:name="_Toc152042335"/>
      <w:bookmarkStart w:id="38" w:name="_Toc152045559"/>
      <w:bookmarkStart w:id="39" w:name="_Toc179632577"/>
      <w:bookmarkStart w:id="40" w:name="_Toc144974527"/>
      <w:bookmarkStart w:id="41" w:name="_Toc292893121"/>
      <w:r>
        <w:rPr>
          <w:rFonts w:hint="eastAsia" w:ascii="宋体" w:hAnsi="宋体"/>
          <w:b/>
          <w:sz w:val="28"/>
          <w:szCs w:val="28"/>
        </w:rPr>
        <w:t>（五）开标</w:t>
      </w:r>
      <w:bookmarkEnd w:id="37"/>
      <w:bookmarkEnd w:id="38"/>
      <w:bookmarkEnd w:id="39"/>
      <w:bookmarkEnd w:id="40"/>
      <w:bookmarkEnd w:id="41"/>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22</w:t>
      </w:r>
      <w:r>
        <w:rPr>
          <w:rFonts w:hint="eastAsia" w:ascii="宋体" w:hAnsi="宋体" w:cs="宋体"/>
          <w:b/>
          <w:kern w:val="0"/>
          <w:sz w:val="24"/>
        </w:rPr>
        <w:t>．开标</w:t>
      </w:r>
    </w:p>
    <w:p>
      <w:pPr>
        <w:adjustRightInd w:val="0"/>
        <w:snapToGrid w:val="0"/>
        <w:spacing w:before="156" w:beforeLines="50" w:after="156" w:afterLines="50" w:line="440" w:lineRule="exact"/>
        <w:ind w:firstLine="470" w:firstLineChars="196"/>
        <w:jc w:val="left"/>
        <w:rPr>
          <w:rFonts w:ascii="宋体" w:cs="宋体"/>
          <w:kern w:val="0"/>
          <w:sz w:val="24"/>
        </w:rPr>
      </w:pPr>
      <w:r>
        <w:rPr>
          <w:rFonts w:ascii="宋体" w:hAnsi="宋体" w:cs="宋体"/>
          <w:kern w:val="0"/>
          <w:sz w:val="24"/>
        </w:rPr>
        <w:t>22.1</w:t>
      </w:r>
      <w:r>
        <w:rPr>
          <w:rFonts w:hint="eastAsia" w:ascii="宋体" w:hAnsi="宋体" w:cs="宋体"/>
          <w:kern w:val="0"/>
          <w:sz w:val="24"/>
        </w:rPr>
        <w:t>招标人在供应商须知前附表中规定的投标截止时间（开标时间）和地点公开开标，并邀请所有供应商的法定代表人或其委托代理人（携带授权委托书及被授权人身份证明）准时参加，否则视为对开标内容全部默认。</w:t>
      </w:r>
    </w:p>
    <w:p>
      <w:pPr>
        <w:widowControl/>
        <w:tabs>
          <w:tab w:val="left" w:pos="540"/>
        </w:tabs>
        <w:spacing w:line="440" w:lineRule="exact"/>
        <w:ind w:firstLine="495"/>
        <w:jc w:val="left"/>
        <w:rPr>
          <w:rFonts w:ascii="宋体" w:cs="宋体"/>
          <w:kern w:val="0"/>
          <w:sz w:val="24"/>
        </w:rPr>
      </w:pPr>
      <w:bookmarkStart w:id="42" w:name="_Toc292893123"/>
      <w:bookmarkStart w:id="43" w:name="_Toc179632579"/>
      <w:bookmarkStart w:id="44" w:name="_Toc152042337"/>
      <w:bookmarkStart w:id="45" w:name="_Toc152045561"/>
      <w:bookmarkStart w:id="46" w:name="_Toc144974529"/>
      <w:r>
        <w:rPr>
          <w:rFonts w:ascii="宋体" w:hAnsi="宋体" w:cs="宋体"/>
          <w:kern w:val="0"/>
          <w:sz w:val="24"/>
        </w:rPr>
        <w:t>22.2</w:t>
      </w:r>
      <w:r>
        <w:rPr>
          <w:rFonts w:hint="eastAsia" w:ascii="宋体" w:hAnsi="宋体" w:cs="宋体"/>
          <w:kern w:val="0"/>
          <w:sz w:val="24"/>
        </w:rPr>
        <w:t>开标程序</w:t>
      </w:r>
      <w:bookmarkEnd w:id="42"/>
      <w:bookmarkEnd w:id="43"/>
      <w:bookmarkEnd w:id="44"/>
      <w:bookmarkEnd w:id="45"/>
      <w:bookmarkEnd w:id="46"/>
    </w:p>
    <w:p>
      <w:pPr>
        <w:widowControl/>
        <w:tabs>
          <w:tab w:val="left" w:pos="540"/>
        </w:tabs>
        <w:spacing w:line="440" w:lineRule="exact"/>
        <w:ind w:firstLine="495"/>
        <w:jc w:val="left"/>
        <w:rPr>
          <w:rFonts w:ascii="宋体" w:cs="宋体"/>
          <w:kern w:val="0"/>
          <w:sz w:val="24"/>
        </w:rPr>
      </w:pPr>
      <w:r>
        <w:rPr>
          <w:rFonts w:hint="eastAsia" w:ascii="宋体" w:hAnsi="宋体" w:cs="宋体"/>
          <w:kern w:val="0"/>
          <w:sz w:val="24"/>
        </w:rPr>
        <w:t>主持人按下列程序进行开标：</w:t>
      </w:r>
    </w:p>
    <w:p>
      <w:pPr>
        <w:widowControl/>
        <w:tabs>
          <w:tab w:val="left" w:pos="540"/>
        </w:tabs>
        <w:spacing w:line="440" w:lineRule="exact"/>
        <w:ind w:firstLine="495"/>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）宣布开标纪律；</w:t>
      </w:r>
    </w:p>
    <w:p>
      <w:pPr>
        <w:widowControl/>
        <w:tabs>
          <w:tab w:val="left" w:pos="540"/>
        </w:tabs>
        <w:spacing w:line="440" w:lineRule="exact"/>
        <w:ind w:firstLine="495"/>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）公布在投标截止时间前递交投标文件的供应商名称；</w:t>
      </w:r>
    </w:p>
    <w:p>
      <w:pPr>
        <w:widowControl/>
        <w:tabs>
          <w:tab w:val="left" w:pos="540"/>
        </w:tabs>
        <w:spacing w:line="440" w:lineRule="exact"/>
        <w:ind w:firstLine="495"/>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）宣布招标人、监标人等有关人员姓名；</w:t>
      </w:r>
    </w:p>
    <w:p>
      <w:pPr>
        <w:widowControl/>
        <w:tabs>
          <w:tab w:val="left" w:pos="540"/>
        </w:tabs>
        <w:spacing w:line="440" w:lineRule="exact"/>
        <w:ind w:firstLine="495"/>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）密封情况检查；</w:t>
      </w:r>
    </w:p>
    <w:p>
      <w:pPr>
        <w:widowControl/>
        <w:tabs>
          <w:tab w:val="left" w:pos="540"/>
        </w:tabs>
        <w:spacing w:line="440" w:lineRule="exact"/>
        <w:ind w:firstLine="495"/>
        <w:jc w:val="left"/>
        <w:rPr>
          <w:rFonts w:ascii="宋体"/>
          <w:sz w:val="24"/>
        </w:rPr>
      </w:pPr>
      <w:r>
        <w:rPr>
          <w:rFonts w:hint="eastAsia" w:ascii="宋体" w:hAnsi="宋体"/>
          <w:sz w:val="24"/>
        </w:rPr>
        <w:t>（</w:t>
      </w:r>
      <w:r>
        <w:rPr>
          <w:rFonts w:ascii="宋体" w:hAnsi="宋体"/>
          <w:sz w:val="24"/>
        </w:rPr>
        <w:t>5</w:t>
      </w:r>
      <w:r>
        <w:rPr>
          <w:rFonts w:hint="eastAsia" w:ascii="宋体" w:hAnsi="宋体"/>
          <w:sz w:val="24"/>
        </w:rPr>
        <w:t>）按投标文件递交的逆顺序解密唱标，并记录在案；</w:t>
      </w:r>
    </w:p>
    <w:p>
      <w:pPr>
        <w:widowControl/>
        <w:tabs>
          <w:tab w:val="left" w:pos="540"/>
        </w:tabs>
        <w:spacing w:line="440" w:lineRule="exact"/>
        <w:ind w:firstLine="495"/>
        <w:jc w:val="left"/>
        <w:rPr>
          <w:rFonts w:ascii="宋体"/>
          <w:sz w:val="24"/>
        </w:rPr>
      </w:pPr>
      <w:r>
        <w:rPr>
          <w:rFonts w:hint="eastAsia" w:ascii="宋体" w:hAnsi="宋体"/>
          <w:sz w:val="24"/>
        </w:rPr>
        <w:t>（</w:t>
      </w:r>
      <w:r>
        <w:rPr>
          <w:rFonts w:ascii="宋体" w:hAnsi="宋体"/>
          <w:sz w:val="24"/>
        </w:rPr>
        <w:t>6</w:t>
      </w:r>
      <w:r>
        <w:rPr>
          <w:rFonts w:hint="eastAsia" w:ascii="宋体" w:hAnsi="宋体"/>
          <w:sz w:val="24"/>
        </w:rPr>
        <w:t>）供应商代表等有关人员在开标记录上签字确认；</w:t>
      </w:r>
    </w:p>
    <w:p>
      <w:pPr>
        <w:widowControl/>
        <w:tabs>
          <w:tab w:val="left" w:pos="540"/>
          <w:tab w:val="left" w:pos="3168"/>
        </w:tabs>
        <w:spacing w:line="440" w:lineRule="exact"/>
        <w:ind w:firstLine="495"/>
        <w:jc w:val="left"/>
        <w:rPr>
          <w:rFonts w:ascii="宋体"/>
          <w:sz w:val="24"/>
        </w:rPr>
      </w:pPr>
      <w:r>
        <w:rPr>
          <w:rFonts w:hint="eastAsia" w:ascii="宋体" w:hAnsi="宋体"/>
          <w:sz w:val="24"/>
        </w:rPr>
        <w:t>（</w:t>
      </w:r>
      <w:r>
        <w:rPr>
          <w:rFonts w:ascii="宋体" w:hAnsi="宋体"/>
          <w:sz w:val="24"/>
        </w:rPr>
        <w:t>7</w:t>
      </w:r>
      <w:r>
        <w:rPr>
          <w:rFonts w:hint="eastAsia" w:ascii="宋体" w:hAnsi="宋体"/>
          <w:sz w:val="24"/>
        </w:rPr>
        <w:t>）开标结束。</w:t>
      </w:r>
      <w:r>
        <w:rPr>
          <w:rFonts w:ascii="宋体"/>
          <w:sz w:val="24"/>
        </w:rPr>
        <w:tab/>
      </w:r>
    </w:p>
    <w:p>
      <w:pPr>
        <w:spacing w:before="156" w:beforeLines="50" w:after="156" w:afterLines="50" w:line="440" w:lineRule="exact"/>
        <w:jc w:val="center"/>
        <w:rPr>
          <w:rFonts w:ascii="宋体"/>
          <w:b/>
          <w:sz w:val="28"/>
          <w:szCs w:val="28"/>
        </w:rPr>
      </w:pPr>
      <w:r>
        <w:rPr>
          <w:rFonts w:hint="eastAsia" w:ascii="宋体" w:hAnsi="宋体"/>
          <w:b/>
          <w:sz w:val="28"/>
          <w:szCs w:val="28"/>
        </w:rPr>
        <w:t>（六）评标</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 xml:space="preserve">23. </w:t>
      </w:r>
      <w:r>
        <w:rPr>
          <w:rFonts w:hint="eastAsia" w:ascii="宋体" w:hAnsi="宋体" w:cs="宋体"/>
          <w:b/>
          <w:kern w:val="0"/>
          <w:sz w:val="24"/>
        </w:rPr>
        <w:t>评标委员会</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23.1</w:t>
      </w:r>
      <w:r>
        <w:rPr>
          <w:rFonts w:hint="eastAsia" w:ascii="宋体" w:hAnsi="宋体" w:cs="宋体"/>
          <w:kern w:val="0"/>
          <w:sz w:val="24"/>
        </w:rPr>
        <w:t>评标由依法组建的评标委员会负责。</w:t>
      </w:r>
      <w:r>
        <w:rPr>
          <w:rFonts w:hint="eastAsia" w:ascii="宋体" w:hAnsi="宋体"/>
          <w:sz w:val="24"/>
        </w:rPr>
        <w:t>评标专家</w:t>
      </w:r>
      <w:r>
        <w:rPr>
          <w:rFonts w:hint="eastAsia" w:ascii="宋体" w:hAnsi="宋体" w:cs="宋体"/>
          <w:kern w:val="0"/>
          <w:sz w:val="24"/>
        </w:rPr>
        <w:t>在监督部门的监督下，从评标专家库中随机抽取，有关经济、技术等方面的专家组成。评标委员会根据本项目招标文件的评定标办法独立完成评标工作</w:t>
      </w:r>
      <w:r>
        <w:rPr>
          <w:rFonts w:hint="eastAsia" w:ascii="宋体" w:hAnsi="宋体"/>
          <w:sz w:val="24"/>
        </w:rPr>
        <w:t>，任何人不得干预评委的正常评标工作。</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23.2 </w:t>
      </w:r>
      <w:r>
        <w:rPr>
          <w:rFonts w:hint="eastAsia" w:ascii="宋体" w:hAnsi="宋体" w:cs="宋体"/>
          <w:kern w:val="0"/>
          <w:sz w:val="24"/>
        </w:rPr>
        <w:t>评标委员会成员有下列情形之一的，应当回避：</w:t>
      </w:r>
    </w:p>
    <w:p>
      <w:pPr>
        <w:widowControl/>
        <w:tabs>
          <w:tab w:val="left" w:pos="540"/>
        </w:tabs>
        <w:spacing w:line="440" w:lineRule="exact"/>
        <w:ind w:firstLine="495"/>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）招标人或供应商的主要负责人的近亲属；</w:t>
      </w:r>
    </w:p>
    <w:p>
      <w:pPr>
        <w:widowControl/>
        <w:tabs>
          <w:tab w:val="left" w:pos="540"/>
        </w:tabs>
        <w:spacing w:line="440" w:lineRule="exact"/>
        <w:ind w:firstLine="495"/>
        <w:jc w:val="left"/>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）项目主管部门或者行政监督部门的人员；</w:t>
      </w:r>
    </w:p>
    <w:p>
      <w:pPr>
        <w:widowControl/>
        <w:tabs>
          <w:tab w:val="left" w:pos="540"/>
        </w:tabs>
        <w:spacing w:line="440" w:lineRule="exact"/>
        <w:ind w:firstLine="495"/>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）与供应商有经济利益关系，可能影响对投标公正评审的；</w:t>
      </w:r>
    </w:p>
    <w:p>
      <w:pPr>
        <w:widowControl/>
        <w:tabs>
          <w:tab w:val="left" w:pos="540"/>
        </w:tabs>
        <w:spacing w:line="440" w:lineRule="exact"/>
        <w:ind w:firstLine="495"/>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）曾因在招标、评标以及其他与招标投标有关活动中从事违法行为而受过行政处罚或刑事处罚的。</w:t>
      </w:r>
    </w:p>
    <w:p>
      <w:pPr>
        <w:adjustRightInd w:val="0"/>
        <w:snapToGrid w:val="0"/>
        <w:spacing w:before="156" w:beforeLines="50" w:after="156" w:afterLines="50" w:line="440" w:lineRule="exact"/>
        <w:jc w:val="left"/>
        <w:rPr>
          <w:rFonts w:ascii="宋体" w:cs="宋体"/>
          <w:b/>
          <w:kern w:val="0"/>
          <w:sz w:val="24"/>
        </w:rPr>
      </w:pPr>
      <w:bookmarkStart w:id="47" w:name="_Toc179632582"/>
      <w:bookmarkStart w:id="48" w:name="_Toc152045564"/>
      <w:bookmarkStart w:id="49" w:name="_Toc152042340"/>
      <w:bookmarkStart w:id="50" w:name="_Toc144974532"/>
      <w:bookmarkStart w:id="51" w:name="_Toc292893126"/>
      <w:bookmarkStart w:id="52" w:name="_Toc217446060"/>
      <w:r>
        <w:rPr>
          <w:rFonts w:ascii="宋体" w:hAnsi="宋体" w:cs="宋体"/>
          <w:b/>
          <w:kern w:val="0"/>
          <w:sz w:val="24"/>
        </w:rPr>
        <w:t>24</w:t>
      </w:r>
      <w:r>
        <w:rPr>
          <w:rFonts w:hint="eastAsia" w:ascii="宋体" w:hAnsi="宋体" w:cs="宋体"/>
          <w:b/>
          <w:kern w:val="0"/>
          <w:sz w:val="24"/>
        </w:rPr>
        <w:t>．评标原则</w:t>
      </w:r>
      <w:bookmarkEnd w:id="47"/>
      <w:bookmarkEnd w:id="48"/>
      <w:bookmarkEnd w:id="49"/>
      <w:bookmarkEnd w:id="50"/>
      <w:bookmarkEnd w:id="51"/>
      <w:r>
        <w:rPr>
          <w:rFonts w:ascii="宋体" w:cs="宋体"/>
          <w:b/>
          <w:kern w:val="0"/>
          <w:sz w:val="24"/>
        </w:rPr>
        <w:tab/>
      </w:r>
    </w:p>
    <w:p>
      <w:pPr>
        <w:widowControl/>
        <w:tabs>
          <w:tab w:val="left" w:pos="540"/>
        </w:tabs>
        <w:spacing w:line="440" w:lineRule="exact"/>
        <w:ind w:firstLine="495"/>
        <w:jc w:val="left"/>
        <w:rPr>
          <w:rFonts w:ascii="宋体" w:cs="宋体"/>
          <w:kern w:val="0"/>
          <w:sz w:val="24"/>
        </w:rPr>
      </w:pPr>
      <w:r>
        <w:rPr>
          <w:rFonts w:hint="eastAsia" w:ascii="宋体" w:hAnsi="宋体" w:cs="宋体"/>
          <w:kern w:val="0"/>
          <w:sz w:val="24"/>
        </w:rPr>
        <w:t>评标活动遵循公平、公正、科学和择优的原则。</w:t>
      </w:r>
    </w:p>
    <w:p>
      <w:pPr>
        <w:adjustRightInd w:val="0"/>
        <w:snapToGrid w:val="0"/>
        <w:spacing w:before="156" w:beforeLines="50" w:after="156" w:afterLines="50" w:line="440" w:lineRule="exact"/>
        <w:jc w:val="left"/>
        <w:rPr>
          <w:rFonts w:ascii="宋体" w:cs="宋体"/>
          <w:b/>
          <w:kern w:val="0"/>
          <w:sz w:val="24"/>
        </w:rPr>
      </w:pPr>
      <w:bookmarkStart w:id="53" w:name="_Toc292893127"/>
      <w:bookmarkStart w:id="54" w:name="_Toc152045565"/>
      <w:bookmarkStart w:id="55" w:name="_Toc179632583"/>
      <w:bookmarkStart w:id="56" w:name="_Toc144974533"/>
      <w:bookmarkStart w:id="57" w:name="_Toc152042341"/>
      <w:r>
        <w:rPr>
          <w:rFonts w:ascii="宋体" w:hAnsi="宋体" w:cs="宋体"/>
          <w:b/>
          <w:kern w:val="0"/>
          <w:sz w:val="24"/>
        </w:rPr>
        <w:t>25</w:t>
      </w:r>
      <w:r>
        <w:rPr>
          <w:rFonts w:hint="eastAsia" w:ascii="宋体" w:hAnsi="宋体" w:cs="宋体"/>
          <w:b/>
          <w:kern w:val="0"/>
          <w:sz w:val="24"/>
        </w:rPr>
        <w:t>．评标</w:t>
      </w:r>
      <w:bookmarkEnd w:id="53"/>
      <w:bookmarkEnd w:id="54"/>
      <w:bookmarkEnd w:id="55"/>
      <w:bookmarkEnd w:id="56"/>
      <w:bookmarkEnd w:id="57"/>
    </w:p>
    <w:p>
      <w:pPr>
        <w:autoSpaceDE w:val="0"/>
        <w:autoSpaceDN w:val="0"/>
        <w:adjustRightInd w:val="0"/>
        <w:spacing w:line="360" w:lineRule="auto"/>
        <w:ind w:left="100" w:right="40" w:firstLine="420"/>
        <w:jc w:val="left"/>
        <w:rPr>
          <w:rFonts w:ascii="宋体" w:cs="宋体"/>
          <w:kern w:val="0"/>
          <w:sz w:val="24"/>
        </w:rPr>
      </w:pPr>
      <w:r>
        <w:rPr>
          <w:rFonts w:ascii="宋体" w:hAnsi="宋体" w:cs="宋体"/>
          <w:kern w:val="0"/>
          <w:sz w:val="24"/>
        </w:rPr>
        <w:t>25.1</w:t>
      </w:r>
      <w:r>
        <w:rPr>
          <w:rFonts w:hint="eastAsia" w:ascii="宋体" w:hAnsi="宋体" w:cs="宋体"/>
          <w:kern w:val="0"/>
          <w:sz w:val="24"/>
        </w:rPr>
        <w:t>公开招标采购项目开标会议结束后，根据招标内容和特点按规定组建资格审查小组，其成员由采购人代表或采购代理机构专职人员组成。资格审查小组依据第三章评标办法资格评审标准对投标文件进行资格审查，以确定供应商是否具备投标资格，有一项不符合评审标准的，资格审查小组应当认定其投标无效，合格供应商不足</w:t>
      </w:r>
      <w:r>
        <w:rPr>
          <w:rFonts w:ascii="宋体" w:hAnsi="宋体" w:cs="宋体"/>
          <w:kern w:val="0"/>
          <w:sz w:val="24"/>
        </w:rPr>
        <w:t>3</w:t>
      </w:r>
      <w:r>
        <w:rPr>
          <w:rFonts w:hint="eastAsia" w:ascii="宋体" w:hAnsi="宋体" w:cs="宋体"/>
          <w:kern w:val="0"/>
          <w:sz w:val="24"/>
        </w:rPr>
        <w:t>家的，不得评标。</w:t>
      </w:r>
    </w:p>
    <w:p>
      <w:pPr>
        <w:autoSpaceDE w:val="0"/>
        <w:autoSpaceDN w:val="0"/>
        <w:adjustRightInd w:val="0"/>
        <w:spacing w:line="360" w:lineRule="auto"/>
        <w:ind w:left="100" w:right="40" w:firstLine="420"/>
        <w:jc w:val="left"/>
        <w:rPr>
          <w:rFonts w:ascii="宋体" w:cs="宋体"/>
          <w:kern w:val="0"/>
          <w:sz w:val="24"/>
        </w:rPr>
      </w:pPr>
      <w:r>
        <w:rPr>
          <w:rFonts w:ascii="宋体" w:hAnsi="宋体" w:cs="宋体"/>
          <w:kern w:val="0"/>
          <w:sz w:val="24"/>
        </w:rPr>
        <w:t>25.2</w:t>
      </w:r>
      <w:r>
        <w:rPr>
          <w:rFonts w:hint="eastAsia" w:ascii="宋体" w:hAnsi="宋体" w:cs="宋体"/>
          <w:kern w:val="0"/>
          <w:sz w:val="24"/>
        </w:rPr>
        <w:t>评标委员会按照第三章“评标办法”规定的方法、评审因素、标准和程序对投标文件进行评审。第三章“评标办法”没有规定的方法、评审因素和标准，不作为评标依据。</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26</w:t>
      </w:r>
      <w:r>
        <w:rPr>
          <w:rFonts w:hint="eastAsia" w:ascii="宋体" w:hAnsi="宋体" w:cs="宋体"/>
          <w:b/>
          <w:kern w:val="0"/>
          <w:sz w:val="24"/>
        </w:rPr>
        <w:t>．投标文件的初步评审</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26.1 </w:t>
      </w:r>
      <w:r>
        <w:rPr>
          <w:rFonts w:hint="eastAsia" w:ascii="宋体" w:hAnsi="宋体" w:cs="宋体"/>
          <w:kern w:val="0"/>
          <w:sz w:val="24"/>
        </w:rPr>
        <w:t>评标时，评标委员会将首先评定每份文件是否实质上响应了招标文件的要求。所谓实质上响应，是指投标文件应与招标文件的所有实质性条款、条件和要求相符，无显著差异或保留，或者对合同中约定的招标人的权利和供应商的义务方面造成重大的限制，纠正这些显著差异或保留将会对其他实质上响应招标文件要求的投标文件的供应商的竞争地位产生不公正的影响。</w:t>
      </w:r>
    </w:p>
    <w:p>
      <w:pPr>
        <w:widowControl/>
        <w:tabs>
          <w:tab w:val="left" w:pos="540"/>
        </w:tabs>
        <w:spacing w:line="440" w:lineRule="exact"/>
        <w:ind w:firstLine="495"/>
        <w:jc w:val="left"/>
        <w:rPr>
          <w:rFonts w:ascii="宋体" w:cs="宋体"/>
          <w:kern w:val="0"/>
          <w:sz w:val="24"/>
        </w:rPr>
      </w:pPr>
      <w:r>
        <w:rPr>
          <w:rFonts w:ascii="宋体" w:hAnsi="宋体" w:cs="宋体"/>
          <w:kern w:val="0"/>
          <w:sz w:val="24"/>
        </w:rPr>
        <w:t xml:space="preserve">26.2 </w:t>
      </w:r>
      <w:r>
        <w:rPr>
          <w:rFonts w:hint="eastAsia" w:ascii="宋体" w:hAnsi="宋体" w:cs="宋体"/>
          <w:kern w:val="0"/>
          <w:sz w:val="24"/>
        </w:rPr>
        <w:t>实质上没响应招标文件要求的投标将被拒绝。供应商不得通过修正或撤销不合要求的偏离或保留从而使其投标成为实质上响应的投标。</w:t>
      </w:r>
      <w:r>
        <w:rPr>
          <w:rFonts w:hint="eastAsia" w:ascii="宋体" w:hAnsi="宋体" w:cs="宋体"/>
          <w:b/>
          <w:bCs/>
          <w:kern w:val="0"/>
          <w:sz w:val="24"/>
        </w:rPr>
        <w:t>如发生下列情况之一的，不进入详细评审（打分程序）：</w:t>
      </w:r>
    </w:p>
    <w:p>
      <w:pPr>
        <w:widowControl/>
        <w:tabs>
          <w:tab w:val="left" w:pos="540"/>
        </w:tabs>
        <w:spacing w:line="440" w:lineRule="exact"/>
        <w:ind w:firstLine="495"/>
        <w:jc w:val="left"/>
        <w:rPr>
          <w:rFonts w:ascii="宋体" w:cs="宋体"/>
          <w:b/>
          <w:kern w:val="0"/>
          <w:sz w:val="24"/>
        </w:rPr>
      </w:pPr>
      <w:r>
        <w:rPr>
          <w:rFonts w:ascii="宋体" w:hAnsi="宋体" w:cs="宋体"/>
          <w:b/>
          <w:kern w:val="0"/>
          <w:sz w:val="24"/>
        </w:rPr>
        <w:t>26.2.1</w:t>
      </w:r>
      <w:r>
        <w:rPr>
          <w:rFonts w:hint="eastAsia" w:ascii="宋体" w:hAnsi="宋体" w:cs="宋体"/>
          <w:b/>
          <w:kern w:val="0"/>
          <w:sz w:val="24"/>
        </w:rPr>
        <w:t>投标文件（投标书）无供应商盖章并无法定代表人或法定代表人授权的代理人签字或盖章的；</w:t>
      </w:r>
    </w:p>
    <w:p>
      <w:pPr>
        <w:widowControl/>
        <w:tabs>
          <w:tab w:val="left" w:pos="540"/>
        </w:tabs>
        <w:adjustRightInd w:val="0"/>
        <w:snapToGrid w:val="0"/>
        <w:spacing w:line="440" w:lineRule="exact"/>
        <w:ind w:firstLine="495"/>
        <w:jc w:val="left"/>
        <w:rPr>
          <w:rFonts w:ascii="宋体" w:cs="宋体"/>
          <w:b/>
          <w:kern w:val="0"/>
          <w:sz w:val="24"/>
        </w:rPr>
      </w:pPr>
      <w:r>
        <w:rPr>
          <w:rFonts w:ascii="宋体" w:hAnsi="宋体" w:cs="宋体"/>
          <w:b/>
          <w:kern w:val="0"/>
          <w:sz w:val="24"/>
        </w:rPr>
        <w:t>26.2.2</w:t>
      </w:r>
      <w:r>
        <w:rPr>
          <w:rFonts w:hint="eastAsia" w:ascii="宋体" w:hAnsi="宋体" w:cs="宋体"/>
          <w:b/>
          <w:kern w:val="0"/>
          <w:sz w:val="24"/>
        </w:rPr>
        <w:t>供应商递交两份或多份内容不同的投标文件，或在一份投标文件中对同一招标项目报有两个或多个报价，且未声明哪一个有效的；</w:t>
      </w:r>
    </w:p>
    <w:p>
      <w:pPr>
        <w:widowControl/>
        <w:tabs>
          <w:tab w:val="left" w:pos="540"/>
        </w:tabs>
        <w:adjustRightInd w:val="0"/>
        <w:snapToGrid w:val="0"/>
        <w:spacing w:line="440" w:lineRule="exact"/>
        <w:ind w:firstLine="495"/>
        <w:jc w:val="left"/>
        <w:rPr>
          <w:rFonts w:ascii="宋体" w:cs="宋体"/>
          <w:b/>
          <w:kern w:val="0"/>
          <w:sz w:val="24"/>
        </w:rPr>
      </w:pPr>
      <w:r>
        <w:rPr>
          <w:rFonts w:ascii="宋体" w:hAnsi="宋体" w:cs="宋体"/>
          <w:b/>
          <w:kern w:val="0"/>
          <w:sz w:val="24"/>
        </w:rPr>
        <w:t>26.2.3</w:t>
      </w:r>
      <w:r>
        <w:rPr>
          <w:rFonts w:hint="eastAsia" w:ascii="宋体" w:hAnsi="宋体" w:cs="宋体"/>
          <w:b/>
          <w:kern w:val="0"/>
          <w:sz w:val="24"/>
        </w:rPr>
        <w:t>未按招标文件要求提交投标保证金或金额不足；</w:t>
      </w:r>
    </w:p>
    <w:p>
      <w:pPr>
        <w:widowControl/>
        <w:tabs>
          <w:tab w:val="left" w:pos="540"/>
        </w:tabs>
        <w:adjustRightInd w:val="0"/>
        <w:snapToGrid w:val="0"/>
        <w:spacing w:line="440" w:lineRule="exact"/>
        <w:ind w:firstLine="495"/>
        <w:jc w:val="left"/>
        <w:rPr>
          <w:rFonts w:ascii="宋体" w:cs="宋体"/>
          <w:b/>
          <w:kern w:val="0"/>
          <w:sz w:val="24"/>
        </w:rPr>
      </w:pPr>
      <w:r>
        <w:rPr>
          <w:rFonts w:ascii="宋体" w:hAnsi="宋体" w:cs="宋体"/>
          <w:b/>
          <w:kern w:val="0"/>
          <w:sz w:val="24"/>
        </w:rPr>
        <w:t>26.2.4</w:t>
      </w:r>
      <w:r>
        <w:rPr>
          <w:rFonts w:hint="eastAsia" w:ascii="宋体" w:hAnsi="宋体" w:cs="宋体"/>
          <w:b/>
          <w:kern w:val="0"/>
          <w:sz w:val="24"/>
        </w:rPr>
        <w:t>投标文件附有招标方不能接受的条件的；</w:t>
      </w:r>
    </w:p>
    <w:p>
      <w:pPr>
        <w:widowControl/>
        <w:tabs>
          <w:tab w:val="left" w:pos="540"/>
        </w:tabs>
        <w:adjustRightInd w:val="0"/>
        <w:snapToGrid w:val="0"/>
        <w:spacing w:line="440" w:lineRule="exact"/>
        <w:ind w:firstLine="495"/>
        <w:jc w:val="left"/>
        <w:rPr>
          <w:rFonts w:ascii="宋体" w:cs="宋体"/>
          <w:kern w:val="0"/>
          <w:sz w:val="24"/>
        </w:rPr>
      </w:pPr>
      <w:r>
        <w:rPr>
          <w:rFonts w:ascii="宋体" w:hAnsi="宋体" w:cs="宋体"/>
          <w:kern w:val="0"/>
          <w:sz w:val="24"/>
        </w:rPr>
        <w:t>26.3</w:t>
      </w:r>
      <w:r>
        <w:rPr>
          <w:rFonts w:hint="eastAsia" w:ascii="宋体" w:hAnsi="宋体" w:cs="宋体"/>
          <w:kern w:val="0"/>
          <w:sz w:val="24"/>
        </w:rPr>
        <w:t>投标文件一经开标，供应商无权予以更正或撤回。</w:t>
      </w:r>
    </w:p>
    <w:p>
      <w:pPr>
        <w:adjustRightInd w:val="0"/>
        <w:snapToGrid w:val="0"/>
        <w:spacing w:before="156" w:beforeLines="50" w:after="156" w:afterLines="50" w:line="440" w:lineRule="exact"/>
        <w:jc w:val="left"/>
        <w:rPr>
          <w:rFonts w:ascii="宋体"/>
          <w:b/>
          <w:sz w:val="24"/>
        </w:rPr>
      </w:pPr>
      <w:r>
        <w:rPr>
          <w:rFonts w:ascii="宋体" w:hAnsi="宋体" w:cs="宋体"/>
          <w:b/>
          <w:kern w:val="0"/>
          <w:sz w:val="24"/>
        </w:rPr>
        <w:t>27</w:t>
      </w:r>
      <w:r>
        <w:rPr>
          <w:rFonts w:hint="eastAsia" w:ascii="宋体" w:hAnsi="宋体" w:cs="宋体"/>
          <w:b/>
          <w:kern w:val="0"/>
          <w:sz w:val="24"/>
        </w:rPr>
        <w:t>．投标文件错误的修正</w:t>
      </w:r>
    </w:p>
    <w:p>
      <w:pPr>
        <w:tabs>
          <w:tab w:val="left" w:pos="540"/>
        </w:tabs>
        <w:adjustRightInd w:val="0"/>
        <w:snapToGrid w:val="0"/>
        <w:spacing w:line="440" w:lineRule="exact"/>
        <w:ind w:firstLine="495"/>
        <w:jc w:val="left"/>
        <w:rPr>
          <w:rFonts w:ascii="宋体" w:cs="宋体"/>
          <w:kern w:val="0"/>
          <w:sz w:val="24"/>
        </w:rPr>
      </w:pPr>
      <w:r>
        <w:rPr>
          <w:rFonts w:ascii="宋体" w:hAnsi="宋体" w:cs="宋体"/>
          <w:kern w:val="0"/>
          <w:sz w:val="24"/>
        </w:rPr>
        <w:t>27.1</w:t>
      </w:r>
      <w:r>
        <w:rPr>
          <w:rFonts w:hint="eastAsia" w:ascii="宋体" w:hAnsi="宋体" w:cs="宋体"/>
          <w:kern w:val="0"/>
          <w:sz w:val="24"/>
        </w:rPr>
        <w:t>评标委员会将对确定为实质上响应招标文件要求的投标文件进行校核，看其是否有计算或表达上的错误。开标时，投标文件中开标一览表</w:t>
      </w:r>
      <w:r>
        <w:rPr>
          <w:rFonts w:ascii="宋体" w:hAnsi="宋体" w:cs="宋体"/>
          <w:kern w:val="0"/>
          <w:sz w:val="24"/>
        </w:rPr>
        <w:t>(</w:t>
      </w:r>
      <w:r>
        <w:rPr>
          <w:rFonts w:hint="eastAsia" w:ascii="宋体" w:hAnsi="宋体" w:cs="宋体"/>
          <w:kern w:val="0"/>
          <w:sz w:val="24"/>
        </w:rPr>
        <w:t>报价表</w:t>
      </w:r>
      <w:r>
        <w:rPr>
          <w:rFonts w:ascii="宋体" w:hAnsi="宋体" w:cs="宋体"/>
          <w:kern w:val="0"/>
          <w:sz w:val="24"/>
        </w:rPr>
        <w:t>)</w:t>
      </w:r>
      <w:r>
        <w:rPr>
          <w:rFonts w:hint="eastAsia" w:ascii="宋体" w:hAnsi="宋体" w:cs="宋体"/>
          <w:kern w:val="0"/>
          <w:sz w:val="24"/>
        </w:rPr>
        <w:t>内容与投标文件中明细表内容不一致的，以开标一览表</w:t>
      </w:r>
      <w:r>
        <w:rPr>
          <w:rFonts w:ascii="宋体" w:hAnsi="宋体" w:cs="宋体"/>
          <w:kern w:val="0"/>
          <w:sz w:val="24"/>
        </w:rPr>
        <w:t>(</w:t>
      </w:r>
      <w:r>
        <w:rPr>
          <w:rFonts w:hint="eastAsia" w:ascii="宋体" w:hAnsi="宋体" w:cs="宋体"/>
          <w:kern w:val="0"/>
          <w:sz w:val="24"/>
        </w:rPr>
        <w:t>报价表</w:t>
      </w:r>
      <w:r>
        <w:rPr>
          <w:rFonts w:ascii="宋体" w:hAnsi="宋体" w:cs="宋体"/>
          <w:kern w:val="0"/>
          <w:sz w:val="24"/>
        </w:rPr>
        <w:t>)</w:t>
      </w:r>
      <w:r>
        <w:rPr>
          <w:rFonts w:hint="eastAsia" w:ascii="宋体" w:hAnsi="宋体" w:cs="宋体"/>
          <w:kern w:val="0"/>
          <w:sz w:val="24"/>
        </w:rPr>
        <w:t>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tabs>
          <w:tab w:val="left" w:pos="540"/>
        </w:tabs>
        <w:adjustRightInd w:val="0"/>
        <w:snapToGrid w:val="0"/>
        <w:spacing w:line="440" w:lineRule="exact"/>
        <w:ind w:firstLine="495"/>
        <w:jc w:val="left"/>
        <w:rPr>
          <w:rFonts w:ascii="宋体" w:cs="宋体"/>
          <w:kern w:val="0"/>
          <w:sz w:val="24"/>
        </w:rPr>
      </w:pPr>
      <w:r>
        <w:rPr>
          <w:rFonts w:ascii="宋体" w:hAnsi="宋体" w:cs="宋体"/>
          <w:kern w:val="0"/>
          <w:sz w:val="24"/>
        </w:rPr>
        <w:t>27.2</w:t>
      </w:r>
      <w:r>
        <w:rPr>
          <w:rFonts w:hint="eastAsia" w:ascii="宋体" w:hAnsi="宋体" w:cs="宋体"/>
          <w:kern w:val="0"/>
          <w:sz w:val="24"/>
        </w:rPr>
        <w:t>调整或修正投标文件的投标报价经供应商同意后，对供应商起约束作用。如果供应商不接受修正后的报价，则其投标将被拒绝并且其投标保证金也将不予退还，并不影响评标工作的进行。</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28</w:t>
      </w:r>
      <w:r>
        <w:rPr>
          <w:rFonts w:hint="eastAsia" w:ascii="宋体" w:hAnsi="宋体" w:cs="宋体"/>
          <w:b/>
          <w:kern w:val="0"/>
          <w:sz w:val="24"/>
        </w:rPr>
        <w:t>．投标文件的澄清</w:t>
      </w:r>
    </w:p>
    <w:p>
      <w:pPr>
        <w:widowControl/>
        <w:tabs>
          <w:tab w:val="left" w:pos="540"/>
        </w:tabs>
        <w:adjustRightInd w:val="0"/>
        <w:snapToGrid w:val="0"/>
        <w:spacing w:line="440" w:lineRule="exact"/>
        <w:ind w:firstLine="495"/>
        <w:jc w:val="left"/>
        <w:rPr>
          <w:rFonts w:ascii="宋体" w:cs="宋体"/>
          <w:kern w:val="0"/>
          <w:sz w:val="24"/>
        </w:rPr>
      </w:pPr>
      <w:r>
        <w:rPr>
          <w:rFonts w:ascii="宋体" w:hAnsi="宋体" w:cs="宋体"/>
          <w:kern w:val="0"/>
          <w:sz w:val="24"/>
        </w:rPr>
        <w:t xml:space="preserve">28.1 </w:t>
      </w:r>
      <w:r>
        <w:rPr>
          <w:rFonts w:hint="eastAsia" w:ascii="宋体" w:hAnsi="宋体" w:cs="宋体"/>
          <w:kern w:val="0"/>
          <w:sz w:val="24"/>
        </w:rPr>
        <w:t>在评标阶段，评标委员会认为需要时，可书面通知供应商要求澄清其投标文件中的问题，或者要求补充某些资料，对此，供应商不得拒绝。</w:t>
      </w:r>
    </w:p>
    <w:p>
      <w:pPr>
        <w:widowControl/>
        <w:tabs>
          <w:tab w:val="left" w:pos="540"/>
        </w:tabs>
        <w:adjustRightInd w:val="0"/>
        <w:snapToGrid w:val="0"/>
        <w:spacing w:line="440" w:lineRule="exact"/>
        <w:ind w:firstLine="495"/>
        <w:jc w:val="left"/>
        <w:rPr>
          <w:rFonts w:ascii="宋体" w:cs="宋体"/>
          <w:kern w:val="0"/>
          <w:sz w:val="24"/>
        </w:rPr>
      </w:pPr>
      <w:r>
        <w:rPr>
          <w:rFonts w:ascii="宋体" w:hAnsi="宋体" w:cs="宋体"/>
          <w:kern w:val="0"/>
          <w:sz w:val="24"/>
        </w:rPr>
        <w:t xml:space="preserve">28.2 </w:t>
      </w:r>
      <w:r>
        <w:rPr>
          <w:rFonts w:hint="eastAsia" w:ascii="宋体" w:hAnsi="宋体" w:cs="宋体"/>
          <w:kern w:val="0"/>
          <w:sz w:val="24"/>
        </w:rPr>
        <w:t>有关澄清的答复，应以书面形式进行，供应商不得借澄清问题的机会，与评标委员会及评标工作人员私下接触或对原投标报价或投标的实质性内容提出修改，但在评标中对发现的算术性差错进行的核实、修正，则不在此列。</w:t>
      </w:r>
    </w:p>
    <w:p>
      <w:pPr>
        <w:widowControl/>
        <w:tabs>
          <w:tab w:val="left" w:pos="540"/>
        </w:tabs>
        <w:adjustRightInd w:val="0"/>
        <w:snapToGrid w:val="0"/>
        <w:spacing w:line="440" w:lineRule="exact"/>
        <w:ind w:firstLine="495"/>
        <w:jc w:val="left"/>
        <w:rPr>
          <w:rFonts w:ascii="宋体" w:cs="宋体"/>
          <w:kern w:val="0"/>
          <w:sz w:val="24"/>
        </w:rPr>
      </w:pPr>
      <w:r>
        <w:rPr>
          <w:rFonts w:ascii="宋体" w:hAnsi="宋体" w:cs="宋体"/>
          <w:kern w:val="0"/>
          <w:sz w:val="24"/>
        </w:rPr>
        <w:t>28.3</w:t>
      </w:r>
      <w:r>
        <w:rPr>
          <w:rFonts w:hint="eastAsia" w:ascii="宋体" w:hAnsi="宋体" w:cs="宋体"/>
          <w:kern w:val="0"/>
          <w:sz w:val="24"/>
        </w:rPr>
        <w:t>评标委员会不接受供应商主动提出的澄清。</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29.</w:t>
      </w:r>
      <w:r>
        <w:rPr>
          <w:rFonts w:hint="eastAsia" w:ascii="宋体" w:hAnsi="宋体" w:cs="宋体"/>
          <w:b/>
          <w:kern w:val="0"/>
          <w:sz w:val="24"/>
        </w:rPr>
        <w:t>投标文件的评价与比较</w:t>
      </w:r>
    </w:p>
    <w:p>
      <w:pPr>
        <w:widowControl/>
        <w:tabs>
          <w:tab w:val="left" w:pos="540"/>
        </w:tabs>
        <w:adjustRightInd w:val="0"/>
        <w:snapToGrid w:val="0"/>
        <w:spacing w:line="440" w:lineRule="exact"/>
        <w:ind w:firstLine="495"/>
        <w:jc w:val="left"/>
        <w:rPr>
          <w:rFonts w:ascii="宋体" w:cs="宋体"/>
          <w:kern w:val="0"/>
          <w:sz w:val="24"/>
        </w:rPr>
      </w:pPr>
      <w:r>
        <w:rPr>
          <w:rFonts w:ascii="宋体" w:hAnsi="宋体" w:cs="宋体"/>
          <w:kern w:val="0"/>
          <w:sz w:val="24"/>
        </w:rPr>
        <w:t>29.1</w:t>
      </w:r>
      <w:r>
        <w:rPr>
          <w:rFonts w:hint="eastAsia" w:ascii="宋体" w:hAnsi="宋体" w:cs="宋体"/>
          <w:kern w:val="0"/>
          <w:sz w:val="24"/>
        </w:rPr>
        <w:t>评标委员会依据本招标文件第三章“评标办法”对通过初审的投标文件进行评价和比较。</w:t>
      </w:r>
    </w:p>
    <w:p>
      <w:pPr>
        <w:widowControl/>
        <w:tabs>
          <w:tab w:val="left" w:pos="540"/>
        </w:tabs>
        <w:adjustRightInd w:val="0"/>
        <w:snapToGrid w:val="0"/>
        <w:spacing w:line="440" w:lineRule="exact"/>
        <w:ind w:firstLine="495"/>
        <w:jc w:val="left"/>
        <w:rPr>
          <w:rFonts w:ascii="宋体" w:cs="宋体"/>
          <w:kern w:val="0"/>
          <w:sz w:val="24"/>
        </w:rPr>
      </w:pPr>
      <w:r>
        <w:rPr>
          <w:rFonts w:ascii="宋体" w:hAnsi="宋体" w:cs="宋体"/>
          <w:kern w:val="0"/>
          <w:sz w:val="24"/>
        </w:rPr>
        <w:t xml:space="preserve">29.2 </w:t>
      </w:r>
      <w:r>
        <w:rPr>
          <w:rFonts w:hint="eastAsia" w:ascii="宋体" w:hAnsi="宋体" w:cs="宋体"/>
          <w:kern w:val="0"/>
          <w:sz w:val="24"/>
        </w:rPr>
        <w:t>评标委员会向招标人提交书面评标报告，并依次推荐综合得分排名位于前</w:t>
      </w:r>
      <w:r>
        <w:rPr>
          <w:rFonts w:ascii="宋体" w:hAnsi="宋体" w:cs="宋体"/>
          <w:kern w:val="0"/>
          <w:sz w:val="24"/>
        </w:rPr>
        <w:t>3</w:t>
      </w:r>
      <w:r>
        <w:rPr>
          <w:rFonts w:hint="eastAsia" w:ascii="宋体" w:hAnsi="宋体" w:cs="宋体"/>
          <w:kern w:val="0"/>
          <w:sz w:val="24"/>
        </w:rPr>
        <w:t>名的合格供应商为中标候选供应商。</w:t>
      </w:r>
    </w:p>
    <w:p>
      <w:pPr>
        <w:adjustRightInd w:val="0"/>
        <w:snapToGrid w:val="0"/>
        <w:spacing w:before="156" w:beforeLines="50" w:after="156" w:afterLines="50" w:line="440" w:lineRule="exact"/>
        <w:jc w:val="left"/>
        <w:rPr>
          <w:rFonts w:ascii="宋体" w:cs="宋体"/>
          <w:b/>
          <w:kern w:val="0"/>
          <w:sz w:val="24"/>
        </w:rPr>
      </w:pPr>
      <w:r>
        <w:rPr>
          <w:rFonts w:ascii="宋体" w:hAnsi="宋体" w:cs="宋体"/>
          <w:b/>
          <w:kern w:val="0"/>
          <w:sz w:val="24"/>
        </w:rPr>
        <w:t>30.</w:t>
      </w:r>
      <w:r>
        <w:rPr>
          <w:rFonts w:hint="eastAsia" w:ascii="宋体" w:hAnsi="宋体" w:cs="宋体"/>
          <w:b/>
          <w:kern w:val="0"/>
          <w:sz w:val="24"/>
        </w:rPr>
        <w:t>评标过程的保密</w:t>
      </w:r>
    </w:p>
    <w:p>
      <w:pPr>
        <w:widowControl/>
        <w:tabs>
          <w:tab w:val="left" w:pos="540"/>
        </w:tabs>
        <w:adjustRightInd w:val="0"/>
        <w:snapToGrid w:val="0"/>
        <w:spacing w:line="440" w:lineRule="exact"/>
        <w:ind w:firstLine="495"/>
        <w:jc w:val="left"/>
        <w:rPr>
          <w:rFonts w:ascii="宋体" w:cs="宋体"/>
          <w:kern w:val="0"/>
          <w:sz w:val="24"/>
        </w:rPr>
      </w:pPr>
      <w:r>
        <w:rPr>
          <w:rFonts w:ascii="宋体" w:hAnsi="宋体" w:cs="宋体"/>
          <w:kern w:val="0"/>
          <w:sz w:val="24"/>
        </w:rPr>
        <w:t xml:space="preserve">30.1 </w:t>
      </w:r>
      <w:r>
        <w:rPr>
          <w:rFonts w:hint="eastAsia" w:ascii="宋体" w:hAnsi="宋体" w:cs="宋体"/>
          <w:kern w:val="0"/>
          <w:sz w:val="24"/>
        </w:rPr>
        <w:t>开标后，直至授予中标供应商合同为止，评标委员会成员和与评标工作有关的工作人员不得透露对投标文件的评审和比较、中标候选供应商的推荐情况以及与评标有关的其他情况。</w:t>
      </w:r>
    </w:p>
    <w:p>
      <w:pPr>
        <w:widowControl/>
        <w:tabs>
          <w:tab w:val="left" w:pos="540"/>
        </w:tabs>
        <w:adjustRightInd w:val="0"/>
        <w:snapToGrid w:val="0"/>
        <w:spacing w:line="440" w:lineRule="exact"/>
        <w:ind w:firstLine="495"/>
        <w:jc w:val="left"/>
        <w:rPr>
          <w:rFonts w:ascii="宋体" w:cs="宋体"/>
          <w:kern w:val="0"/>
          <w:sz w:val="24"/>
        </w:rPr>
      </w:pPr>
      <w:r>
        <w:rPr>
          <w:rFonts w:ascii="宋体" w:hAnsi="宋体" w:cs="宋体"/>
          <w:kern w:val="0"/>
          <w:sz w:val="24"/>
        </w:rPr>
        <w:t xml:space="preserve">30.2 </w:t>
      </w:r>
      <w:r>
        <w:rPr>
          <w:rFonts w:hint="eastAsia" w:ascii="宋体" w:hAnsi="宋体" w:cs="宋体"/>
          <w:kern w:val="0"/>
          <w:sz w:val="24"/>
        </w:rPr>
        <w:t>在投标文件的评审和比较、中标候选供应商推荐以及授予合同的过程中，供应商向招标人和评标委员会施加影响的任何行为，都将会导致其投标被拒绝。</w:t>
      </w:r>
    </w:p>
    <w:p>
      <w:pPr>
        <w:widowControl/>
        <w:tabs>
          <w:tab w:val="left" w:pos="540"/>
        </w:tabs>
        <w:adjustRightInd w:val="0"/>
        <w:snapToGrid w:val="0"/>
        <w:spacing w:line="440" w:lineRule="exact"/>
        <w:ind w:firstLine="495"/>
        <w:jc w:val="left"/>
        <w:rPr>
          <w:rFonts w:ascii="宋体" w:cs="宋体"/>
          <w:kern w:val="0"/>
          <w:sz w:val="24"/>
        </w:rPr>
      </w:pPr>
      <w:r>
        <w:rPr>
          <w:rFonts w:ascii="宋体" w:hAnsi="宋体" w:cs="宋体"/>
          <w:kern w:val="0"/>
          <w:sz w:val="24"/>
        </w:rPr>
        <w:t xml:space="preserve">30.3 </w:t>
      </w:r>
      <w:r>
        <w:rPr>
          <w:rFonts w:hint="eastAsia" w:ascii="宋体" w:hAnsi="宋体" w:cs="宋体"/>
          <w:kern w:val="0"/>
          <w:sz w:val="24"/>
        </w:rPr>
        <w:t>中标供应商确定后，招标人不对未中标供应商就评标过程以及未能中标做出任何解释。未中标供应商不得向评标委员会组成人员或其他有关人员索问评标过程的情况和材料。</w:t>
      </w:r>
    </w:p>
    <w:p>
      <w:pPr>
        <w:adjustRightInd w:val="0"/>
        <w:snapToGrid w:val="0"/>
        <w:spacing w:before="156" w:beforeLines="50" w:after="156" w:afterLines="50" w:line="440" w:lineRule="exact"/>
        <w:jc w:val="left"/>
        <w:rPr>
          <w:rFonts w:ascii="宋体" w:cs="宋体"/>
          <w:b/>
          <w:kern w:val="0"/>
          <w:sz w:val="24"/>
        </w:rPr>
      </w:pPr>
      <w:bookmarkStart w:id="58" w:name="_Toc152042342"/>
      <w:bookmarkStart w:id="59" w:name="_Toc144974534"/>
      <w:bookmarkStart w:id="60" w:name="_Toc152045566"/>
      <w:bookmarkStart w:id="61" w:name="_Toc292893128"/>
      <w:bookmarkStart w:id="62" w:name="_Toc179632584"/>
      <w:r>
        <w:rPr>
          <w:rFonts w:ascii="宋体" w:hAnsi="宋体" w:cs="宋体"/>
          <w:b/>
          <w:kern w:val="0"/>
          <w:sz w:val="24"/>
        </w:rPr>
        <w:t>31.</w:t>
      </w:r>
      <w:r>
        <w:rPr>
          <w:rFonts w:hint="eastAsia" w:ascii="宋体" w:hAnsi="宋体" w:cs="宋体"/>
          <w:b/>
          <w:kern w:val="0"/>
          <w:sz w:val="24"/>
        </w:rPr>
        <w:t>合同授予</w:t>
      </w:r>
      <w:bookmarkEnd w:id="58"/>
      <w:bookmarkEnd w:id="59"/>
      <w:bookmarkEnd w:id="60"/>
      <w:bookmarkEnd w:id="61"/>
      <w:bookmarkEnd w:id="62"/>
    </w:p>
    <w:p>
      <w:pPr>
        <w:widowControl/>
        <w:tabs>
          <w:tab w:val="left" w:pos="540"/>
        </w:tabs>
        <w:adjustRightInd w:val="0"/>
        <w:snapToGrid w:val="0"/>
        <w:spacing w:line="440" w:lineRule="exact"/>
        <w:ind w:firstLine="495"/>
        <w:jc w:val="left"/>
        <w:rPr>
          <w:rFonts w:ascii="宋体" w:hAnsi="宋体" w:cs="宋体"/>
          <w:kern w:val="0"/>
          <w:sz w:val="24"/>
        </w:rPr>
      </w:pPr>
      <w:bookmarkStart w:id="63" w:name="_Toc152042343"/>
      <w:bookmarkStart w:id="64" w:name="_Toc179632585"/>
      <w:bookmarkStart w:id="65" w:name="_Toc144974535"/>
      <w:bookmarkStart w:id="66" w:name="_Toc152045567"/>
      <w:bookmarkStart w:id="67" w:name="_Toc292893129"/>
      <w:r>
        <w:rPr>
          <w:rFonts w:hint="eastAsia" w:ascii="宋体" w:hAnsi="宋体" w:cs="宋体"/>
          <w:kern w:val="0"/>
          <w:sz w:val="24"/>
        </w:rPr>
        <w:t>31.1 定标方式</w:t>
      </w:r>
      <w:bookmarkEnd w:id="63"/>
      <w:bookmarkEnd w:id="64"/>
      <w:bookmarkEnd w:id="65"/>
      <w:bookmarkEnd w:id="66"/>
      <w:bookmarkEnd w:id="67"/>
      <w:r>
        <w:rPr>
          <w:rFonts w:hint="eastAsia" w:ascii="宋体" w:hAnsi="宋体" w:cs="宋体"/>
          <w:kern w:val="0"/>
          <w:sz w:val="24"/>
        </w:rPr>
        <w:t>：招标人据评标委员会推荐的中标候选供应商确定中标供应商。</w:t>
      </w:r>
    </w:p>
    <w:p>
      <w:pPr>
        <w:widowControl/>
        <w:tabs>
          <w:tab w:val="left" w:pos="540"/>
        </w:tabs>
        <w:adjustRightInd w:val="0"/>
        <w:snapToGrid w:val="0"/>
        <w:spacing w:line="440" w:lineRule="exact"/>
        <w:ind w:firstLine="495"/>
        <w:jc w:val="left"/>
        <w:rPr>
          <w:rFonts w:ascii="宋体" w:hAnsi="宋体" w:cs="宋体"/>
          <w:kern w:val="0"/>
          <w:sz w:val="24"/>
        </w:rPr>
      </w:pPr>
      <w:r>
        <w:rPr>
          <w:rFonts w:hint="eastAsia" w:ascii="宋体" w:hAnsi="宋体" w:cs="宋体"/>
          <w:kern w:val="0"/>
          <w:sz w:val="24"/>
        </w:rPr>
        <w:t>31.2 招标方在授予合同时有权根据具体情况对招标文件规定的货物数量和服务予以增加或减少,但不得对单价或其它的条款做任何改变</w:t>
      </w:r>
      <w:bookmarkStart w:id="68" w:name="_Toc179632586"/>
      <w:bookmarkStart w:id="69" w:name="_Toc292893130"/>
      <w:bookmarkStart w:id="70" w:name="_Toc144974536"/>
      <w:bookmarkStart w:id="71" w:name="_Toc152042344"/>
      <w:bookmarkStart w:id="72" w:name="_Toc152045568"/>
      <w:r>
        <w:rPr>
          <w:rFonts w:hint="eastAsia" w:ascii="宋体" w:hAnsi="宋体" w:cs="宋体"/>
          <w:kern w:val="0"/>
          <w:sz w:val="24"/>
        </w:rPr>
        <w:t>。</w:t>
      </w:r>
    </w:p>
    <w:p>
      <w:pPr>
        <w:widowControl/>
        <w:tabs>
          <w:tab w:val="left" w:pos="540"/>
        </w:tabs>
        <w:adjustRightInd w:val="0"/>
        <w:snapToGrid w:val="0"/>
        <w:spacing w:line="440" w:lineRule="exact"/>
        <w:ind w:firstLine="495"/>
        <w:jc w:val="left"/>
        <w:rPr>
          <w:rFonts w:ascii="宋体" w:hAnsi="宋体" w:cs="宋体"/>
          <w:kern w:val="0"/>
          <w:sz w:val="24"/>
        </w:rPr>
      </w:pPr>
      <w:r>
        <w:rPr>
          <w:rFonts w:hint="eastAsia" w:ascii="宋体" w:hAnsi="宋体" w:cs="宋体"/>
          <w:kern w:val="0"/>
          <w:sz w:val="24"/>
        </w:rPr>
        <w:t>31.3 中标通知</w:t>
      </w:r>
      <w:bookmarkEnd w:id="68"/>
      <w:bookmarkEnd w:id="69"/>
      <w:bookmarkEnd w:id="70"/>
      <w:bookmarkEnd w:id="71"/>
      <w:bookmarkEnd w:id="72"/>
      <w:r>
        <w:rPr>
          <w:rFonts w:hint="eastAsia" w:ascii="宋体" w:hAnsi="宋体" w:cs="宋体"/>
          <w:kern w:val="0"/>
          <w:sz w:val="24"/>
        </w:rPr>
        <w:t>：在规定的投标有效期内，招标人以书面形式向中标供应商发出中标通知书，同时将中标结果通知未中标的供应商。中标供应商在收到通知书后24小时内，应予以书面确认。中标通知书将成为合同的组成部分。</w:t>
      </w:r>
    </w:p>
    <w:p>
      <w:pPr>
        <w:adjustRightInd w:val="0"/>
        <w:snapToGrid w:val="0"/>
        <w:spacing w:before="156" w:beforeLines="50" w:after="156" w:afterLines="50" w:line="380" w:lineRule="exact"/>
        <w:jc w:val="left"/>
        <w:rPr>
          <w:rFonts w:ascii="宋体" w:cs="宋体"/>
          <w:b/>
          <w:kern w:val="0"/>
          <w:sz w:val="24"/>
        </w:rPr>
      </w:pPr>
      <w:bookmarkStart w:id="73" w:name="_Toc292893131"/>
      <w:bookmarkStart w:id="74" w:name="_Toc152042346"/>
      <w:bookmarkStart w:id="75" w:name="_Toc179632588"/>
      <w:bookmarkStart w:id="76" w:name="_Toc152045570"/>
      <w:bookmarkStart w:id="77" w:name="_Toc144974538"/>
      <w:r>
        <w:rPr>
          <w:rFonts w:ascii="宋体" w:hAnsi="宋体" w:cs="宋体"/>
          <w:b/>
          <w:kern w:val="0"/>
          <w:sz w:val="24"/>
        </w:rPr>
        <w:t>32</w:t>
      </w:r>
      <w:r>
        <w:rPr>
          <w:rFonts w:hint="eastAsia" w:ascii="宋体" w:hAnsi="宋体" w:cs="宋体"/>
          <w:b/>
          <w:kern w:val="0"/>
          <w:sz w:val="24"/>
        </w:rPr>
        <w:t>．签订合同</w:t>
      </w:r>
      <w:bookmarkEnd w:id="73"/>
      <w:bookmarkEnd w:id="74"/>
      <w:bookmarkEnd w:id="75"/>
      <w:bookmarkEnd w:id="76"/>
      <w:bookmarkEnd w:id="77"/>
    </w:p>
    <w:p>
      <w:pPr>
        <w:widowControl/>
        <w:tabs>
          <w:tab w:val="left" w:pos="540"/>
        </w:tabs>
        <w:adjustRightInd w:val="0"/>
        <w:snapToGrid w:val="0"/>
        <w:spacing w:line="440" w:lineRule="exact"/>
        <w:ind w:firstLine="495"/>
        <w:jc w:val="left"/>
        <w:rPr>
          <w:rFonts w:ascii="宋体" w:hAnsi="宋体" w:cs="宋体"/>
          <w:kern w:val="0"/>
          <w:sz w:val="24"/>
        </w:rPr>
      </w:pPr>
      <w:r>
        <w:rPr>
          <w:rFonts w:hint="eastAsia" w:ascii="宋体" w:hAnsi="宋体" w:cs="宋体"/>
          <w:kern w:val="0"/>
          <w:sz w:val="24"/>
        </w:rPr>
        <w:t xml:space="preserve"> 32.1合同签订前中标供应商应按招标文件规定的履约保证金的格式向招标人提交履约保证金。</w:t>
      </w:r>
    </w:p>
    <w:p>
      <w:pPr>
        <w:widowControl/>
        <w:tabs>
          <w:tab w:val="left" w:pos="540"/>
        </w:tabs>
        <w:adjustRightInd w:val="0"/>
        <w:snapToGrid w:val="0"/>
        <w:spacing w:line="440" w:lineRule="exact"/>
        <w:ind w:firstLine="495"/>
        <w:jc w:val="left"/>
        <w:rPr>
          <w:rFonts w:ascii="宋体" w:hAnsi="宋体" w:cs="宋体"/>
          <w:kern w:val="0"/>
          <w:sz w:val="24"/>
        </w:rPr>
      </w:pPr>
      <w:r>
        <w:rPr>
          <w:rFonts w:hint="eastAsia" w:ascii="宋体" w:hAnsi="宋体" w:cs="宋体"/>
          <w:kern w:val="0"/>
          <w:sz w:val="24"/>
        </w:rPr>
        <w:t xml:space="preserve"> 32.2中标人不能按要求提交履约保证金的，视为放弃中标，其投标保证金不予退还。给招标人造成的损失超过投标保证金数额的，中标人还应对超过部分给予赔偿。</w:t>
      </w:r>
    </w:p>
    <w:p>
      <w:pPr>
        <w:widowControl/>
        <w:tabs>
          <w:tab w:val="left" w:pos="540"/>
        </w:tabs>
        <w:adjustRightInd w:val="0"/>
        <w:snapToGrid w:val="0"/>
        <w:spacing w:line="440" w:lineRule="exact"/>
        <w:ind w:firstLine="495"/>
        <w:jc w:val="left"/>
        <w:rPr>
          <w:rFonts w:ascii="宋体" w:hAnsi="宋体" w:cs="宋体"/>
          <w:kern w:val="0"/>
          <w:sz w:val="24"/>
        </w:rPr>
      </w:pPr>
      <w:r>
        <w:rPr>
          <w:rFonts w:hint="eastAsia" w:ascii="宋体" w:hAnsi="宋体" w:cs="宋体"/>
          <w:kern w:val="0"/>
          <w:sz w:val="24"/>
        </w:rPr>
        <w:t>32.3招标人和中标供应商应当自中标通知书发出之日起30天内，根据招标文件和中标供应商的投标文件订立书面合同。中标供应商无正当理由拒签合同的，招标人取消其中标资格，其投标保证金不予退还；给招标人造成的损失超过投标保证金数额的，中标供应商还应当对超过部分予以赔偿，同时依法承担相应法律责任。</w:t>
      </w:r>
    </w:p>
    <w:p>
      <w:pPr>
        <w:widowControl/>
        <w:tabs>
          <w:tab w:val="left" w:pos="540"/>
        </w:tabs>
        <w:adjustRightInd w:val="0"/>
        <w:snapToGrid w:val="0"/>
        <w:spacing w:line="440" w:lineRule="exact"/>
        <w:ind w:firstLine="495"/>
        <w:jc w:val="left"/>
        <w:rPr>
          <w:rFonts w:ascii="宋体" w:hAnsi="宋体" w:cs="宋体"/>
          <w:kern w:val="0"/>
          <w:sz w:val="24"/>
        </w:rPr>
      </w:pPr>
      <w:r>
        <w:rPr>
          <w:rFonts w:hint="eastAsia" w:ascii="宋体" w:hAnsi="宋体" w:cs="宋体"/>
          <w:kern w:val="0"/>
          <w:sz w:val="24"/>
        </w:rPr>
        <w:t xml:space="preserve">32.4发出中标通知书后，招标人无正当理由拒签合同的，应向中标供应商退还投标保证金；给中标供应商造成损失的，还应当赔偿损失。 </w:t>
      </w:r>
    </w:p>
    <w:p>
      <w:pPr>
        <w:adjustRightInd w:val="0"/>
        <w:snapToGrid w:val="0"/>
        <w:spacing w:before="156" w:beforeLines="50" w:after="156" w:afterLines="50" w:line="380" w:lineRule="exact"/>
        <w:jc w:val="left"/>
        <w:rPr>
          <w:rFonts w:ascii="宋体" w:cs="宋体"/>
          <w:b/>
          <w:kern w:val="0"/>
          <w:sz w:val="24"/>
        </w:rPr>
      </w:pPr>
      <w:bookmarkStart w:id="78" w:name="_Toc152042347"/>
      <w:bookmarkStart w:id="79" w:name="_Toc179632589"/>
      <w:bookmarkStart w:id="80" w:name="_Toc152045571"/>
      <w:bookmarkStart w:id="81" w:name="_Toc144974539"/>
      <w:bookmarkStart w:id="82" w:name="_Toc292893132"/>
      <w:r>
        <w:rPr>
          <w:rFonts w:ascii="宋体" w:hAnsi="宋体" w:cs="宋体"/>
          <w:b/>
          <w:kern w:val="0"/>
          <w:sz w:val="24"/>
        </w:rPr>
        <w:t>3</w:t>
      </w:r>
      <w:bookmarkEnd w:id="78"/>
      <w:bookmarkEnd w:id="79"/>
      <w:bookmarkEnd w:id="80"/>
      <w:bookmarkEnd w:id="81"/>
      <w:r>
        <w:rPr>
          <w:rFonts w:ascii="宋体" w:hAnsi="宋体" w:cs="宋体"/>
          <w:b/>
          <w:kern w:val="0"/>
          <w:sz w:val="24"/>
        </w:rPr>
        <w:t>3.</w:t>
      </w:r>
      <w:r>
        <w:rPr>
          <w:rFonts w:hint="eastAsia" w:ascii="宋体" w:hAnsi="宋体" w:cs="宋体"/>
          <w:b/>
          <w:kern w:val="0"/>
          <w:sz w:val="24"/>
        </w:rPr>
        <w:t>中标</w:t>
      </w:r>
      <w:bookmarkEnd w:id="82"/>
      <w:r>
        <w:rPr>
          <w:rFonts w:hint="eastAsia" w:ascii="宋体" w:hAnsi="宋体" w:cs="宋体"/>
          <w:b/>
          <w:kern w:val="0"/>
          <w:sz w:val="24"/>
        </w:rPr>
        <w:t>服务费</w:t>
      </w:r>
    </w:p>
    <w:p>
      <w:pPr>
        <w:spacing w:line="380" w:lineRule="exact"/>
        <w:ind w:firstLine="480" w:firstLineChars="200"/>
        <w:jc w:val="left"/>
        <w:rPr>
          <w:rFonts w:ascii="宋体" w:cs="宋体"/>
          <w:color w:val="0000FF"/>
          <w:kern w:val="0"/>
          <w:sz w:val="24"/>
        </w:rPr>
      </w:pPr>
      <w:r>
        <w:rPr>
          <w:rFonts w:hint="eastAsia" w:ascii="宋体" w:hAnsi="宋体"/>
          <w:color w:val="000000"/>
          <w:sz w:val="24"/>
        </w:rPr>
        <w:t>中标供应商在领取中标通知书前，应按国家计委计价格</w:t>
      </w:r>
      <w:r>
        <w:rPr>
          <w:rFonts w:ascii="宋体" w:hAnsi="宋体"/>
          <w:color w:val="000000"/>
          <w:sz w:val="24"/>
        </w:rPr>
        <w:t>[2002]1980</w:t>
      </w:r>
      <w:r>
        <w:rPr>
          <w:rFonts w:hint="eastAsia" w:ascii="宋体" w:hAnsi="宋体"/>
          <w:color w:val="000000"/>
          <w:sz w:val="24"/>
        </w:rPr>
        <w:t>号文《招标代理服务收费管理暂行办法》规定收费标准及发改办价格</w:t>
      </w:r>
      <w:r>
        <w:rPr>
          <w:rFonts w:ascii="宋体" w:hAnsi="宋体"/>
          <w:color w:val="000000"/>
          <w:sz w:val="24"/>
        </w:rPr>
        <w:t>[20</w:t>
      </w:r>
      <w:r>
        <w:rPr>
          <w:rFonts w:hint="eastAsia" w:ascii="宋体" w:hAnsi="宋体"/>
          <w:color w:val="000000"/>
          <w:sz w:val="24"/>
        </w:rPr>
        <w:t>15</w:t>
      </w:r>
      <w:r>
        <w:rPr>
          <w:rFonts w:ascii="宋体" w:hAnsi="宋体"/>
          <w:color w:val="000000"/>
          <w:sz w:val="24"/>
        </w:rPr>
        <w:t>]</w:t>
      </w:r>
      <w:r>
        <w:rPr>
          <w:rFonts w:hint="eastAsia" w:ascii="宋体" w:hAnsi="宋体"/>
          <w:color w:val="000000"/>
          <w:sz w:val="24"/>
        </w:rPr>
        <w:t>299号文的规定向招标代理人缴清中标服务费。</w:t>
      </w:r>
    </w:p>
    <w:p>
      <w:pPr>
        <w:adjustRightInd w:val="0"/>
        <w:snapToGrid w:val="0"/>
        <w:spacing w:before="156" w:beforeLines="50" w:after="156" w:afterLines="50" w:line="380" w:lineRule="exact"/>
        <w:jc w:val="left"/>
        <w:rPr>
          <w:rFonts w:ascii="宋体" w:cs="宋体"/>
          <w:b/>
          <w:kern w:val="0"/>
          <w:sz w:val="24"/>
        </w:rPr>
      </w:pPr>
      <w:bookmarkStart w:id="83" w:name="_Toc152045574"/>
      <w:bookmarkStart w:id="84" w:name="_Toc292893133"/>
      <w:bookmarkStart w:id="85" w:name="_Toc179632592"/>
      <w:bookmarkStart w:id="86" w:name="_Toc144974542"/>
      <w:bookmarkStart w:id="87" w:name="_Toc152042350"/>
      <w:r>
        <w:rPr>
          <w:rFonts w:ascii="宋体" w:hAnsi="宋体" w:cs="宋体"/>
          <w:b/>
          <w:kern w:val="0"/>
          <w:sz w:val="24"/>
        </w:rPr>
        <w:t>34.</w:t>
      </w:r>
      <w:r>
        <w:rPr>
          <w:rFonts w:hint="eastAsia" w:ascii="宋体" w:hAnsi="宋体" w:cs="宋体"/>
          <w:b/>
          <w:kern w:val="0"/>
          <w:sz w:val="24"/>
        </w:rPr>
        <w:t>纪律和</w:t>
      </w:r>
      <w:bookmarkEnd w:id="83"/>
      <w:bookmarkEnd w:id="84"/>
      <w:bookmarkEnd w:id="85"/>
      <w:bookmarkEnd w:id="86"/>
      <w:bookmarkEnd w:id="87"/>
      <w:r>
        <w:rPr>
          <w:rFonts w:hint="eastAsia" w:ascii="宋体" w:hAnsi="宋体" w:cs="宋体"/>
          <w:b/>
          <w:kern w:val="0"/>
          <w:sz w:val="24"/>
        </w:rPr>
        <w:t>监督</w:t>
      </w:r>
    </w:p>
    <w:p>
      <w:pPr>
        <w:widowControl/>
        <w:tabs>
          <w:tab w:val="left" w:pos="540"/>
        </w:tabs>
        <w:adjustRightInd w:val="0"/>
        <w:snapToGrid w:val="0"/>
        <w:spacing w:line="440" w:lineRule="exact"/>
        <w:ind w:firstLine="495"/>
        <w:jc w:val="left"/>
        <w:rPr>
          <w:rFonts w:ascii="宋体" w:hAnsi="宋体" w:cs="宋体"/>
          <w:kern w:val="0"/>
          <w:sz w:val="24"/>
        </w:rPr>
      </w:pPr>
      <w:bookmarkStart w:id="88" w:name="_Toc292893134"/>
      <w:bookmarkStart w:id="89" w:name="_Toc152045575"/>
      <w:bookmarkStart w:id="90" w:name="_Toc152042351"/>
      <w:bookmarkStart w:id="91" w:name="_Toc144974543"/>
      <w:bookmarkStart w:id="92" w:name="_Toc179632593"/>
      <w:r>
        <w:rPr>
          <w:rFonts w:hint="eastAsia" w:ascii="宋体" w:hAnsi="宋体" w:cs="宋体"/>
          <w:kern w:val="0"/>
          <w:sz w:val="24"/>
        </w:rPr>
        <w:t>34.1对招标人的纪律</w:t>
      </w:r>
      <w:bookmarkEnd w:id="88"/>
      <w:bookmarkEnd w:id="89"/>
      <w:bookmarkEnd w:id="90"/>
      <w:bookmarkEnd w:id="91"/>
      <w:bookmarkEnd w:id="92"/>
      <w:r>
        <w:rPr>
          <w:rFonts w:hint="eastAsia" w:ascii="宋体" w:hAnsi="宋体" w:cs="宋体"/>
          <w:kern w:val="0"/>
          <w:sz w:val="24"/>
        </w:rPr>
        <w:t>要求：招标人不得泄漏招标投标活动中应当保密的情况和资料，不得与供应商串通损害国家利益、社会公共利益或者他人合法权益。</w:t>
      </w:r>
    </w:p>
    <w:p>
      <w:pPr>
        <w:widowControl/>
        <w:tabs>
          <w:tab w:val="left" w:pos="540"/>
        </w:tabs>
        <w:adjustRightInd w:val="0"/>
        <w:snapToGrid w:val="0"/>
        <w:spacing w:line="440" w:lineRule="exact"/>
        <w:ind w:firstLine="495"/>
        <w:jc w:val="left"/>
        <w:rPr>
          <w:rFonts w:ascii="宋体" w:hAnsi="宋体" w:cs="宋体"/>
          <w:kern w:val="0"/>
          <w:sz w:val="24"/>
        </w:rPr>
      </w:pPr>
      <w:bookmarkStart w:id="93" w:name="_Toc152045576"/>
      <w:bookmarkStart w:id="94" w:name="_Toc292893135"/>
      <w:bookmarkStart w:id="95" w:name="_Toc179632594"/>
      <w:bookmarkStart w:id="96" w:name="_Toc152042352"/>
      <w:bookmarkStart w:id="97" w:name="_Toc144974544"/>
      <w:r>
        <w:rPr>
          <w:rFonts w:hint="eastAsia" w:ascii="宋体" w:hAnsi="宋体" w:cs="宋体"/>
          <w:kern w:val="0"/>
          <w:sz w:val="24"/>
        </w:rPr>
        <w:t>34.2 对供应商的纪律要求</w:t>
      </w:r>
      <w:bookmarkEnd w:id="93"/>
      <w:bookmarkEnd w:id="94"/>
      <w:bookmarkEnd w:id="95"/>
      <w:bookmarkEnd w:id="96"/>
      <w:bookmarkEnd w:id="97"/>
      <w:r>
        <w:rPr>
          <w:rFonts w:hint="eastAsia" w:ascii="宋体" w:hAnsi="宋体" w:cs="宋体"/>
          <w:kern w:val="0"/>
          <w:sz w:val="24"/>
        </w:rPr>
        <w:t>：供应商不得相互串通投标或者与招标人串通投标，不得向招标人或者评标委员会成员行贿谋取中标，不得以他人名义投标或者以其他方式弄虚作假骗取中标；供应商不得以任何方式干扰、影响评标工作。如发现供应商有上述不正当行为，将取消其投标资格或中标资格。</w:t>
      </w:r>
      <w:bookmarkStart w:id="98" w:name="_Toc152045577"/>
      <w:bookmarkStart w:id="99" w:name="_Toc292893136"/>
      <w:bookmarkStart w:id="100" w:name="_Toc144974545"/>
      <w:bookmarkStart w:id="101" w:name="_Toc152042353"/>
      <w:bookmarkStart w:id="102" w:name="_Toc179632595"/>
    </w:p>
    <w:p>
      <w:pPr>
        <w:widowControl/>
        <w:tabs>
          <w:tab w:val="left" w:pos="540"/>
        </w:tabs>
        <w:adjustRightInd w:val="0"/>
        <w:snapToGrid w:val="0"/>
        <w:spacing w:line="440" w:lineRule="exact"/>
        <w:ind w:firstLine="495"/>
        <w:jc w:val="left"/>
        <w:rPr>
          <w:rFonts w:ascii="宋体" w:hAnsi="宋体" w:cs="宋体"/>
          <w:kern w:val="0"/>
          <w:sz w:val="24"/>
        </w:rPr>
      </w:pPr>
      <w:r>
        <w:rPr>
          <w:rFonts w:hint="eastAsia" w:ascii="宋体" w:hAnsi="宋体" w:cs="宋体"/>
          <w:kern w:val="0"/>
          <w:sz w:val="24"/>
        </w:rPr>
        <w:t>34.3 对评标委员会成员的纪律要求</w:t>
      </w:r>
      <w:bookmarkEnd w:id="98"/>
      <w:bookmarkEnd w:id="99"/>
      <w:bookmarkEnd w:id="100"/>
      <w:bookmarkEnd w:id="101"/>
      <w:bookmarkEnd w:id="102"/>
      <w:r>
        <w:rPr>
          <w:rFonts w:hint="eastAsia" w:ascii="宋体" w:hAnsi="宋体" w:cs="宋体"/>
          <w:kern w:val="0"/>
          <w:sz w:val="24"/>
        </w:rPr>
        <w:t>：评标委员会成员不得收受他人的财物或者其他好处，不得向他人透漏对投标文件的评审和比较、中标候选供应商的推荐情况以及评标有关的其他情况。在评标活动中，评标委员会成员不得擅离职守，影响评标程序正常进行，不得使用评标办法没有规定的评审因素和标准进行评标。</w:t>
      </w:r>
    </w:p>
    <w:p>
      <w:pPr>
        <w:widowControl/>
        <w:tabs>
          <w:tab w:val="left" w:pos="540"/>
        </w:tabs>
        <w:adjustRightInd w:val="0"/>
        <w:snapToGrid w:val="0"/>
        <w:spacing w:line="440" w:lineRule="exact"/>
        <w:ind w:firstLine="495"/>
        <w:jc w:val="left"/>
        <w:rPr>
          <w:rFonts w:ascii="宋体" w:hAnsi="宋体" w:cs="宋体"/>
          <w:kern w:val="0"/>
          <w:sz w:val="24"/>
        </w:rPr>
      </w:pPr>
      <w:bookmarkStart w:id="103" w:name="_Toc152045578"/>
      <w:bookmarkStart w:id="104" w:name="_Toc292893137"/>
      <w:bookmarkStart w:id="105" w:name="_Toc179632596"/>
      <w:bookmarkStart w:id="106" w:name="_Toc152042354"/>
      <w:bookmarkStart w:id="107" w:name="_Toc144974546"/>
      <w:r>
        <w:rPr>
          <w:rFonts w:hint="eastAsia" w:ascii="宋体" w:hAnsi="宋体" w:cs="宋体"/>
          <w:kern w:val="0"/>
          <w:sz w:val="24"/>
        </w:rPr>
        <w:t>34.4 对与评标活动有关的工作人员的纪律要求</w:t>
      </w:r>
      <w:bookmarkEnd w:id="103"/>
      <w:bookmarkEnd w:id="104"/>
      <w:bookmarkEnd w:id="105"/>
      <w:bookmarkEnd w:id="106"/>
      <w:bookmarkStart w:id="108" w:name="_Toc152042355"/>
      <w:r>
        <w:rPr>
          <w:rFonts w:hint="eastAsia" w:ascii="宋体" w:hAnsi="宋体" w:cs="宋体"/>
          <w:kern w:val="0"/>
          <w:sz w:val="24"/>
        </w:rPr>
        <w:t>：与评标活动有关的工作人员不得收受他人的财物或者其他好处，不得向他人透漏对投标文件的评审和比较、中标候选供应商的推荐情况以及评标有关的其他情况。在评标活动中，与评标活动有关的工作人员不得擅离职守，影响评标程序正常进行。</w:t>
      </w:r>
      <w:bookmarkEnd w:id="108"/>
    </w:p>
    <w:bookmarkEnd w:id="107"/>
    <w:p>
      <w:pPr>
        <w:numPr>
          <w:ilvl w:val="0"/>
          <w:numId w:val="3"/>
        </w:numPr>
        <w:adjustRightInd w:val="0"/>
        <w:snapToGrid w:val="0"/>
        <w:spacing w:before="156" w:beforeLines="50" w:after="156" w:afterLines="50" w:line="380" w:lineRule="exact"/>
        <w:jc w:val="left"/>
        <w:rPr>
          <w:rFonts w:ascii="宋体" w:cs="宋体"/>
          <w:b/>
          <w:kern w:val="0"/>
          <w:sz w:val="24"/>
        </w:rPr>
      </w:pPr>
      <w:r>
        <w:rPr>
          <w:rFonts w:hint="eastAsia" w:ascii="宋体" w:hAnsi="宋体" w:cs="宋体"/>
          <w:b/>
          <w:kern w:val="0"/>
          <w:sz w:val="24"/>
        </w:rPr>
        <w:t>项目落实的政府采购政策</w:t>
      </w:r>
    </w:p>
    <w:p>
      <w:pPr>
        <w:widowControl/>
        <w:tabs>
          <w:tab w:val="left" w:pos="540"/>
        </w:tabs>
        <w:adjustRightInd w:val="0"/>
        <w:snapToGrid w:val="0"/>
        <w:spacing w:line="440" w:lineRule="exact"/>
        <w:ind w:firstLine="495"/>
        <w:jc w:val="left"/>
        <w:rPr>
          <w:rFonts w:ascii="宋体" w:hAnsi="宋体" w:cs="宋体"/>
          <w:kern w:val="0"/>
          <w:sz w:val="24"/>
        </w:rPr>
      </w:pPr>
      <w:r>
        <w:rPr>
          <w:rFonts w:hint="eastAsia" w:ascii="宋体" w:hAnsi="宋体" w:cs="宋体"/>
          <w:kern w:val="0"/>
          <w:sz w:val="24"/>
        </w:rPr>
        <w:t>35.1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号）的要求，财政部民政部中国残疾人联合会《关于促进残疾人就业政府采购政策的通知》（财库）[2017]141号规定，对小型、微型企业及监狱企业产品的价格给予6%～10%的扣除，用扣除后的价格参与评审，扣除比例为：小型企业扣除6%，微型企业扣除6%，监狱企业6%。中小企业需提供由企业所在地的县级以上中小企业主管部门出具的中小企业认定证书和《中小企业声明函》等有效证明材料，否则不予认可。残疾人福利性单位在参加采购活动时，应当提供本通知规定的《残疾人福利性单位声明函》，并对声明的真实性负责。</w:t>
      </w:r>
    </w:p>
    <w:p>
      <w:pPr>
        <w:widowControl/>
        <w:tabs>
          <w:tab w:val="left" w:pos="540"/>
        </w:tabs>
        <w:adjustRightInd w:val="0"/>
        <w:snapToGrid w:val="0"/>
        <w:spacing w:line="440" w:lineRule="exact"/>
        <w:ind w:firstLine="495"/>
        <w:jc w:val="left"/>
        <w:rPr>
          <w:rFonts w:ascii="宋体" w:hAnsi="宋体" w:cs="宋体"/>
          <w:kern w:val="0"/>
          <w:sz w:val="24"/>
        </w:rPr>
      </w:pPr>
      <w:r>
        <w:rPr>
          <w:rFonts w:hint="eastAsia" w:ascii="宋体" w:hAnsi="宋体" w:cs="宋体"/>
          <w:kern w:val="0"/>
          <w:sz w:val="24"/>
        </w:rPr>
        <w:t>根据上述要求计算得出的价格仅限于评标时使用，对成交价格没有任何影响。投标单位若不符合上述规定的或不能提供有效的证明资料，评标小组将按照评标方法及标准中规定的方式计算。同一供应商，中小微企业产品、监狱企业产品、残疾人福利性单位价格扣除优惠只享受一次，不得重复享受。</w:t>
      </w:r>
    </w:p>
    <w:p>
      <w:pPr>
        <w:pStyle w:val="2"/>
        <w:ind w:firstLine="480"/>
        <w:rPr>
          <w:rFonts w:cs="宋体"/>
          <w:kern w:val="0"/>
          <w:sz w:val="24"/>
        </w:rPr>
      </w:pPr>
    </w:p>
    <w:p>
      <w:pPr>
        <w:pStyle w:val="2"/>
        <w:ind w:firstLine="480"/>
        <w:rPr>
          <w:rFonts w:cs="宋体"/>
          <w:kern w:val="0"/>
          <w:sz w:val="24"/>
        </w:rPr>
      </w:pPr>
    </w:p>
    <w:p>
      <w:pPr>
        <w:pStyle w:val="2"/>
        <w:ind w:firstLine="480"/>
        <w:rPr>
          <w:rFonts w:cs="宋体"/>
          <w:kern w:val="0"/>
          <w:sz w:val="24"/>
        </w:rPr>
      </w:pPr>
    </w:p>
    <w:p>
      <w:pPr>
        <w:pStyle w:val="2"/>
        <w:ind w:firstLine="480"/>
        <w:rPr>
          <w:rFonts w:cs="宋体"/>
          <w:kern w:val="0"/>
          <w:sz w:val="24"/>
        </w:rPr>
      </w:pPr>
    </w:p>
    <w:p>
      <w:pPr>
        <w:pStyle w:val="2"/>
        <w:ind w:firstLine="480"/>
        <w:rPr>
          <w:rFonts w:cs="宋体"/>
          <w:kern w:val="0"/>
          <w:sz w:val="24"/>
        </w:rPr>
      </w:pPr>
    </w:p>
    <w:p>
      <w:pPr>
        <w:pStyle w:val="2"/>
        <w:ind w:firstLine="480"/>
        <w:rPr>
          <w:rFonts w:cs="宋体"/>
          <w:kern w:val="0"/>
          <w:sz w:val="24"/>
        </w:rPr>
      </w:pPr>
    </w:p>
    <w:p>
      <w:pPr>
        <w:pStyle w:val="2"/>
        <w:ind w:firstLine="480"/>
        <w:rPr>
          <w:rFonts w:cs="宋体"/>
          <w:kern w:val="0"/>
          <w:sz w:val="24"/>
        </w:rPr>
      </w:pPr>
    </w:p>
    <w:p>
      <w:pPr>
        <w:pStyle w:val="2"/>
        <w:ind w:firstLine="480"/>
        <w:rPr>
          <w:rFonts w:cs="宋体"/>
          <w:kern w:val="0"/>
          <w:sz w:val="24"/>
        </w:rPr>
      </w:pPr>
    </w:p>
    <w:p>
      <w:pPr>
        <w:pStyle w:val="2"/>
        <w:ind w:firstLine="480"/>
        <w:rPr>
          <w:rFonts w:cs="宋体"/>
          <w:kern w:val="0"/>
          <w:sz w:val="24"/>
        </w:rPr>
      </w:pPr>
    </w:p>
    <w:p>
      <w:pPr>
        <w:pStyle w:val="2"/>
        <w:ind w:firstLine="480"/>
        <w:rPr>
          <w:rFonts w:cs="宋体"/>
          <w:kern w:val="0"/>
          <w:sz w:val="24"/>
        </w:rPr>
      </w:pPr>
    </w:p>
    <w:p>
      <w:pPr>
        <w:pStyle w:val="2"/>
        <w:ind w:firstLine="480"/>
        <w:rPr>
          <w:rFonts w:cs="宋体"/>
          <w:kern w:val="0"/>
          <w:sz w:val="24"/>
        </w:rPr>
      </w:pPr>
    </w:p>
    <w:p>
      <w:pPr>
        <w:pStyle w:val="2"/>
        <w:ind w:firstLine="480"/>
        <w:rPr>
          <w:rFonts w:cs="宋体"/>
          <w:kern w:val="0"/>
          <w:sz w:val="24"/>
        </w:rPr>
      </w:pPr>
    </w:p>
    <w:p>
      <w:pPr>
        <w:pStyle w:val="19"/>
        <w:ind w:firstLine="0" w:firstLineChars="0"/>
      </w:pPr>
    </w:p>
    <w:p>
      <w:pPr>
        <w:pStyle w:val="19"/>
        <w:ind w:firstLine="0" w:firstLineChars="0"/>
      </w:pPr>
    </w:p>
    <w:bookmarkEnd w:id="52"/>
    <w:p>
      <w:pPr>
        <w:pStyle w:val="3"/>
        <w:numPr>
          <w:ilvl w:val="0"/>
          <w:numId w:val="1"/>
        </w:numPr>
        <w:spacing w:before="100" w:after="100" w:line="440" w:lineRule="exact"/>
        <w:jc w:val="center"/>
        <w:rPr>
          <w:rFonts w:ascii="宋体" w:hAnsi="宋体" w:cs="Arial"/>
          <w:sz w:val="32"/>
          <w:szCs w:val="32"/>
        </w:rPr>
      </w:pPr>
      <w:bookmarkStart w:id="109" w:name="_Toc354341639"/>
      <w:bookmarkStart w:id="110" w:name="_Toc26692"/>
      <w:bookmarkStart w:id="111" w:name="_Toc18753_WPSOffice_Level1"/>
      <w:r>
        <w:rPr>
          <w:rFonts w:hint="eastAsia" w:ascii="宋体" w:hAnsi="宋体" w:cs="Arial"/>
          <w:sz w:val="32"/>
          <w:szCs w:val="32"/>
        </w:rPr>
        <w:t>评标办法</w:t>
      </w:r>
      <w:bookmarkEnd w:id="109"/>
      <w:bookmarkEnd w:id="110"/>
      <w:bookmarkEnd w:id="111"/>
    </w:p>
    <w:p>
      <w:pPr>
        <w:adjustRightInd w:val="0"/>
        <w:snapToGrid w:val="0"/>
        <w:spacing w:before="156" w:beforeLines="50" w:after="156" w:afterLines="50" w:line="420" w:lineRule="exact"/>
        <w:ind w:firstLine="482" w:firstLineChars="200"/>
        <w:rPr>
          <w:rFonts w:ascii="宋体"/>
          <w:b/>
          <w:sz w:val="24"/>
        </w:rPr>
      </w:pPr>
      <w:r>
        <w:rPr>
          <w:rFonts w:hint="eastAsia" w:ascii="宋体" w:hAnsi="宋体"/>
          <w:b/>
          <w:sz w:val="24"/>
        </w:rPr>
        <w:t>一、评标、定标原则</w:t>
      </w:r>
    </w:p>
    <w:p>
      <w:pPr>
        <w:adjustRightInd w:val="0"/>
        <w:snapToGrid w:val="0"/>
        <w:spacing w:line="420" w:lineRule="exact"/>
        <w:ind w:firstLine="480" w:firstLineChars="200"/>
        <w:rPr>
          <w:rFonts w:ascii="宋体"/>
          <w:sz w:val="24"/>
        </w:rPr>
      </w:pPr>
      <w:r>
        <w:rPr>
          <w:rFonts w:hint="eastAsia" w:ascii="宋体" w:hAnsi="宋体"/>
          <w:sz w:val="24"/>
        </w:rPr>
        <w:t>按照《中华人民共和国政府采购法》和七部委联合下发的《评标委员会和评标方法暂行规定》等的有关规定，坚持公开、公平、公正、诚实、守信、科学、择优的原则，反对不正当竞争。</w:t>
      </w:r>
    </w:p>
    <w:p>
      <w:pPr>
        <w:adjustRightInd w:val="0"/>
        <w:snapToGrid w:val="0"/>
        <w:spacing w:line="420" w:lineRule="exact"/>
        <w:ind w:firstLine="480" w:firstLineChars="200"/>
        <w:rPr>
          <w:rFonts w:ascii="宋体"/>
          <w:sz w:val="24"/>
        </w:rPr>
      </w:pPr>
      <w:r>
        <w:rPr>
          <w:rFonts w:hint="eastAsia" w:ascii="宋体" w:hAnsi="宋体"/>
          <w:sz w:val="24"/>
        </w:rPr>
        <w:t>二、</w:t>
      </w:r>
      <w:r>
        <w:rPr>
          <w:rFonts w:hint="eastAsia" w:ascii="宋体" w:hAnsi="宋体"/>
          <w:b/>
          <w:bCs/>
          <w:sz w:val="24"/>
        </w:rPr>
        <w:t>评标监督：</w:t>
      </w:r>
      <w:r>
        <w:rPr>
          <w:rFonts w:hint="eastAsia" w:ascii="宋体" w:hAnsi="宋体"/>
          <w:sz w:val="24"/>
        </w:rPr>
        <w:t>由相关部门对招投标全过程进行监督。</w:t>
      </w:r>
    </w:p>
    <w:p>
      <w:pPr>
        <w:adjustRightInd w:val="0"/>
        <w:snapToGrid w:val="0"/>
        <w:spacing w:line="420" w:lineRule="exact"/>
        <w:ind w:firstLine="480" w:firstLineChars="200"/>
        <w:rPr>
          <w:rFonts w:ascii="宋体"/>
          <w:sz w:val="24"/>
        </w:rPr>
      </w:pPr>
      <w:r>
        <w:rPr>
          <w:rFonts w:hint="eastAsia" w:ascii="宋体" w:hAnsi="宋体"/>
          <w:sz w:val="24"/>
        </w:rPr>
        <w:t>三、</w:t>
      </w:r>
      <w:r>
        <w:rPr>
          <w:rFonts w:hint="eastAsia" w:ascii="宋体" w:hAnsi="宋体"/>
          <w:b/>
          <w:bCs/>
          <w:sz w:val="24"/>
        </w:rPr>
        <w:t>评标委员会：</w:t>
      </w:r>
      <w:r>
        <w:rPr>
          <w:rFonts w:hint="eastAsia" w:ascii="宋体" w:hAnsi="宋体"/>
          <w:sz w:val="24"/>
        </w:rPr>
        <w:t>评标委员会由采购人代表和评审专家组成，成员人数应当为5人以上单数，评审专家不得少于成员总数的三分之二。（注：上述规定为一组评标专家组成方式，根据项目标段数量和评标工作量，可由多组专家完成评审，但一个标段只能由一组专家评审。）评标委员会根据本项目招标文件的评定标办法独立完成评标工作，任何人不得干预评委的正常评标工作。</w:t>
      </w:r>
    </w:p>
    <w:p>
      <w:pPr>
        <w:adjustRightInd w:val="0"/>
        <w:snapToGrid w:val="0"/>
        <w:spacing w:before="156" w:beforeLines="50" w:after="156" w:afterLines="50" w:line="420" w:lineRule="exact"/>
        <w:ind w:firstLine="482" w:firstLineChars="200"/>
        <w:rPr>
          <w:rFonts w:ascii="宋体" w:hAnsi="宋体"/>
          <w:bCs/>
          <w:sz w:val="24"/>
        </w:rPr>
      </w:pPr>
      <w:r>
        <w:rPr>
          <w:rFonts w:hint="eastAsia" w:ascii="宋体" w:hAnsi="宋体"/>
          <w:b/>
          <w:sz w:val="24"/>
        </w:rPr>
        <w:t>四、评标纪律：</w:t>
      </w:r>
      <w:r>
        <w:rPr>
          <w:rFonts w:hint="eastAsia" w:ascii="宋体" w:hAnsi="宋体"/>
          <w:bCs/>
          <w:sz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djustRightInd w:val="0"/>
        <w:snapToGrid w:val="0"/>
        <w:spacing w:before="156" w:beforeLines="50" w:after="156" w:afterLines="50" w:line="420" w:lineRule="exact"/>
        <w:ind w:firstLine="482" w:firstLineChars="200"/>
        <w:rPr>
          <w:rFonts w:ascii="宋体"/>
          <w:sz w:val="24"/>
        </w:rPr>
      </w:pPr>
      <w:r>
        <w:rPr>
          <w:rFonts w:hint="eastAsia" w:ascii="宋体" w:hAnsi="宋体"/>
          <w:b/>
          <w:sz w:val="24"/>
        </w:rPr>
        <w:t>五、评标规则：</w:t>
      </w:r>
      <w:r>
        <w:rPr>
          <w:rFonts w:hint="eastAsia" w:ascii="宋体" w:hAnsi="宋体"/>
          <w:sz w:val="24"/>
        </w:rPr>
        <w:t>采取百分制对各投标文件进行评审，计分过程按四舍五入取至小数点后两位，当出现并列时，保留至小数点后三位。具体评标过程分为两个阶段：</w:t>
      </w:r>
    </w:p>
    <w:p>
      <w:pPr>
        <w:adjustRightInd w:val="0"/>
        <w:snapToGrid w:val="0"/>
        <w:spacing w:before="156" w:beforeLines="50" w:after="156" w:afterLines="50" w:line="420" w:lineRule="exact"/>
        <w:ind w:firstLine="482" w:firstLineChars="200"/>
        <w:rPr>
          <w:rFonts w:ascii="宋体"/>
          <w:b/>
          <w:sz w:val="24"/>
        </w:rPr>
      </w:pPr>
      <w:r>
        <w:rPr>
          <w:rFonts w:ascii="宋体" w:hAnsi="宋体"/>
          <w:b/>
          <w:sz w:val="24"/>
        </w:rPr>
        <w:t>1</w:t>
      </w:r>
      <w:r>
        <w:rPr>
          <w:rFonts w:hint="eastAsia" w:ascii="宋体" w:hAnsi="宋体"/>
          <w:b/>
          <w:sz w:val="24"/>
        </w:rPr>
        <w:t>．初步评审</w:t>
      </w:r>
    </w:p>
    <w:p>
      <w:pPr>
        <w:adjustRightInd w:val="0"/>
        <w:snapToGrid w:val="0"/>
        <w:spacing w:line="420" w:lineRule="exact"/>
        <w:ind w:firstLine="480" w:firstLineChars="200"/>
        <w:rPr>
          <w:rFonts w:ascii="宋体"/>
          <w:sz w:val="24"/>
        </w:rPr>
      </w:pPr>
      <w:r>
        <w:rPr>
          <w:rFonts w:hint="eastAsia" w:ascii="宋体" w:hAnsi="宋体"/>
          <w:sz w:val="24"/>
        </w:rPr>
        <w:t>评委会首先按招标文件要求对供应商的投标文件进行形式、符合性评审（详见评标办法前附表）。确认其投标文件是否实质上响应了招标文件的要求，对实质上响应招标文件要求的投标文件进行下一步评审。</w:t>
      </w:r>
    </w:p>
    <w:p>
      <w:pPr>
        <w:adjustRightInd w:val="0"/>
        <w:snapToGrid w:val="0"/>
        <w:spacing w:before="156" w:beforeLines="50" w:after="156" w:afterLines="50" w:line="420" w:lineRule="exact"/>
        <w:ind w:firstLine="482" w:firstLineChars="200"/>
        <w:rPr>
          <w:rFonts w:ascii="宋体"/>
          <w:b/>
          <w:sz w:val="24"/>
        </w:rPr>
      </w:pPr>
      <w:r>
        <w:rPr>
          <w:rFonts w:ascii="宋体" w:hAnsi="宋体"/>
          <w:b/>
          <w:sz w:val="24"/>
        </w:rPr>
        <w:t>2</w:t>
      </w:r>
      <w:r>
        <w:rPr>
          <w:rFonts w:hint="eastAsia" w:ascii="宋体" w:hAnsi="宋体"/>
          <w:b/>
          <w:sz w:val="24"/>
        </w:rPr>
        <w:t>．细微偏差不影响投标文件的有效性</w:t>
      </w:r>
    </w:p>
    <w:p>
      <w:pPr>
        <w:adjustRightInd w:val="0"/>
        <w:snapToGrid w:val="0"/>
        <w:spacing w:line="420" w:lineRule="exact"/>
        <w:ind w:firstLine="480" w:firstLineChars="200"/>
        <w:rPr>
          <w:rFonts w:ascii="宋体"/>
          <w:sz w:val="24"/>
        </w:rPr>
      </w:pPr>
      <w:r>
        <w:rPr>
          <w:rFonts w:hint="eastAsia" w:ascii="宋体" w:hAnsi="宋体"/>
          <w:sz w:val="24"/>
        </w:rPr>
        <w:t>细微偏差是指投标文件在实质上响应招标文件要求，但个别地方存在漏项或者提供不了完整的技术信息和数据等情况，并且补正这些遗漏或者不完整不会对其他供应商造成不公平的结果。如投标文件中数字大写和小写不一致的，以大写为准。</w:t>
      </w:r>
    </w:p>
    <w:p>
      <w:pPr>
        <w:adjustRightInd w:val="0"/>
        <w:snapToGrid w:val="0"/>
        <w:spacing w:line="420" w:lineRule="exact"/>
        <w:ind w:firstLine="480" w:firstLineChars="200"/>
        <w:rPr>
          <w:rFonts w:ascii="宋体"/>
          <w:sz w:val="24"/>
        </w:rPr>
      </w:pPr>
      <w:r>
        <w:rPr>
          <w:rFonts w:hint="eastAsia" w:ascii="宋体" w:hAnsi="宋体"/>
          <w:sz w:val="24"/>
        </w:rPr>
        <w:t>对于实质上符合招标文件要求的投标文件，招标人将对其投标文件的细微偏差进行校核。并对算数上和累积运算上的差错给与修正，这种修正应取得供应商的同意并确认修正后的最终结果。如果供应商拒绝确认，则其投标文件将不予评审，其投标保证金也不予退还。</w:t>
      </w:r>
    </w:p>
    <w:p>
      <w:pPr>
        <w:adjustRightInd w:val="0"/>
        <w:snapToGrid w:val="0"/>
        <w:spacing w:line="420" w:lineRule="exact"/>
        <w:ind w:firstLine="480" w:firstLineChars="200"/>
        <w:rPr>
          <w:rFonts w:ascii="宋体"/>
          <w:sz w:val="24"/>
        </w:rPr>
      </w:pPr>
      <w:r>
        <w:rPr>
          <w:rFonts w:hint="eastAsia" w:ascii="宋体" w:hAnsi="宋体"/>
          <w:sz w:val="24"/>
        </w:rPr>
        <w:t>评标委员会不对无效标评审。评标委员会不接受供应商在投标文件递交截止时间之后主动进行的一切修正或撤销其不符合要求的偏差。</w:t>
      </w:r>
    </w:p>
    <w:p>
      <w:pPr>
        <w:adjustRightInd w:val="0"/>
        <w:snapToGrid w:val="0"/>
        <w:spacing w:before="156" w:beforeLines="50" w:after="156" w:afterLines="50" w:line="420" w:lineRule="exact"/>
        <w:ind w:firstLine="482" w:firstLineChars="200"/>
        <w:jc w:val="left"/>
        <w:rPr>
          <w:rFonts w:ascii="宋体"/>
          <w:b/>
          <w:sz w:val="24"/>
        </w:rPr>
      </w:pPr>
      <w:r>
        <w:rPr>
          <w:rFonts w:ascii="宋体" w:hAnsi="宋体"/>
          <w:b/>
          <w:sz w:val="24"/>
        </w:rPr>
        <w:t>3</w:t>
      </w:r>
      <w:r>
        <w:rPr>
          <w:rFonts w:hint="eastAsia" w:ascii="宋体" w:hAnsi="宋体"/>
          <w:b/>
          <w:sz w:val="24"/>
        </w:rPr>
        <w:t>．详细评审</w:t>
      </w:r>
    </w:p>
    <w:p>
      <w:pPr>
        <w:adjustRightInd w:val="0"/>
        <w:snapToGrid w:val="0"/>
        <w:spacing w:line="420" w:lineRule="exact"/>
        <w:ind w:firstLine="480" w:firstLineChars="200"/>
        <w:jc w:val="left"/>
        <w:rPr>
          <w:rFonts w:ascii="宋体"/>
          <w:sz w:val="24"/>
        </w:rPr>
      </w:pPr>
      <w:r>
        <w:rPr>
          <w:rFonts w:hint="eastAsia" w:ascii="宋体" w:hAnsi="宋体"/>
          <w:sz w:val="24"/>
        </w:rPr>
        <w:t>经初步评审合格的投标文件，评标委员会根据招标文件确定的评标标准和方法，对其投标文件做进一步评审与比较。</w:t>
      </w:r>
    </w:p>
    <w:p>
      <w:pPr>
        <w:adjustRightInd w:val="0"/>
        <w:snapToGrid w:val="0"/>
        <w:spacing w:before="156" w:beforeLines="50" w:after="156" w:afterLines="50" w:line="420" w:lineRule="exact"/>
        <w:ind w:firstLine="482" w:firstLineChars="200"/>
        <w:jc w:val="left"/>
        <w:rPr>
          <w:rFonts w:ascii="宋体"/>
          <w:b/>
          <w:sz w:val="24"/>
        </w:rPr>
      </w:pPr>
      <w:r>
        <w:rPr>
          <w:rFonts w:ascii="宋体" w:hAnsi="宋体"/>
          <w:b/>
          <w:sz w:val="24"/>
        </w:rPr>
        <w:t>4</w:t>
      </w:r>
      <w:r>
        <w:rPr>
          <w:rFonts w:hint="eastAsia" w:ascii="宋体" w:hAnsi="宋体"/>
          <w:b/>
          <w:sz w:val="24"/>
        </w:rPr>
        <w:t>．评标保密</w:t>
      </w:r>
    </w:p>
    <w:p>
      <w:pPr>
        <w:adjustRightInd w:val="0"/>
        <w:snapToGrid w:val="0"/>
        <w:spacing w:line="420" w:lineRule="exact"/>
        <w:ind w:firstLine="480" w:firstLineChars="200"/>
        <w:rPr>
          <w:rFonts w:ascii="宋体"/>
          <w:sz w:val="24"/>
        </w:rPr>
      </w:pPr>
      <w:r>
        <w:rPr>
          <w:rFonts w:hint="eastAsia" w:ascii="宋体" w:hAnsi="宋体"/>
          <w:sz w:val="24"/>
        </w:rPr>
        <w:t>在确认中标供应商之前，凡属于投标文件的审查、澄清、评价和比较及有关授予合同的信息，凡参与评标的所有人员都不得向供应商或与该过程无公务关系的其他人泄露。如果供应商试图对招标人的评标过程或定标决定施加影响，则会导致其投标文件被拒绝。</w:t>
      </w:r>
    </w:p>
    <w:p>
      <w:pPr>
        <w:adjustRightInd w:val="0"/>
        <w:snapToGrid w:val="0"/>
        <w:spacing w:before="156" w:beforeLines="50" w:after="156" w:afterLines="50" w:line="420" w:lineRule="exact"/>
        <w:ind w:firstLine="482" w:firstLineChars="200"/>
        <w:rPr>
          <w:rFonts w:ascii="宋体"/>
          <w:b/>
          <w:sz w:val="24"/>
        </w:rPr>
      </w:pPr>
      <w:r>
        <w:rPr>
          <w:rFonts w:ascii="宋体" w:hAnsi="宋体"/>
          <w:b/>
          <w:sz w:val="24"/>
        </w:rPr>
        <w:t>5</w:t>
      </w:r>
      <w:r>
        <w:rPr>
          <w:rFonts w:hint="eastAsia" w:ascii="宋体" w:hAnsi="宋体"/>
          <w:b/>
          <w:sz w:val="24"/>
        </w:rPr>
        <w:t>．评标结果</w:t>
      </w:r>
    </w:p>
    <w:p>
      <w:pPr>
        <w:adjustRightInd w:val="0"/>
        <w:snapToGrid w:val="0"/>
        <w:spacing w:line="420" w:lineRule="exact"/>
        <w:ind w:firstLine="480" w:firstLineChars="200"/>
        <w:rPr>
          <w:rFonts w:ascii="宋体"/>
          <w:sz w:val="24"/>
        </w:rPr>
      </w:pPr>
      <w:r>
        <w:rPr>
          <w:rFonts w:hint="eastAsia" w:ascii="宋体" w:hAnsi="宋体"/>
          <w:sz w:val="24"/>
        </w:rPr>
        <w:t>评标委员会每位成员根据评标办法和标准，对所有投标文件进行集中审核分别打分后。各评委评分的算术平均值作为该供应商的最终得分，计分取至小数点后两位，计分过程中小数点后第三位四舍五入。</w:t>
      </w:r>
    </w:p>
    <w:p>
      <w:pPr>
        <w:adjustRightInd w:val="0"/>
        <w:snapToGrid w:val="0"/>
        <w:spacing w:before="156" w:beforeLines="50" w:after="156" w:afterLines="50" w:line="420" w:lineRule="exact"/>
        <w:ind w:firstLine="482" w:firstLineChars="200"/>
        <w:rPr>
          <w:rFonts w:ascii="宋体"/>
          <w:b/>
          <w:sz w:val="24"/>
        </w:rPr>
      </w:pPr>
      <w:r>
        <w:rPr>
          <w:rFonts w:ascii="宋体" w:hAnsi="宋体"/>
          <w:b/>
          <w:sz w:val="24"/>
        </w:rPr>
        <w:t>6</w:t>
      </w:r>
      <w:r>
        <w:rPr>
          <w:rFonts w:hint="eastAsia" w:ascii="宋体" w:hAnsi="宋体"/>
          <w:b/>
          <w:sz w:val="24"/>
        </w:rPr>
        <w:t>．定标</w:t>
      </w:r>
    </w:p>
    <w:p>
      <w:pPr>
        <w:adjustRightInd w:val="0"/>
        <w:snapToGrid w:val="0"/>
        <w:spacing w:line="420" w:lineRule="exact"/>
        <w:ind w:firstLine="480" w:firstLineChars="200"/>
        <w:rPr>
          <w:rFonts w:ascii="宋体"/>
          <w:sz w:val="24"/>
        </w:rPr>
      </w:pPr>
      <w:r>
        <w:rPr>
          <w:rFonts w:hint="eastAsia" w:ascii="宋体" w:hAnsi="宋体"/>
          <w:sz w:val="24"/>
        </w:rPr>
        <w:t>评标委员会将向招标人提交评标报告，并按照得分高低的顺序向招标人推荐排序前三名为中标候选供应商，招标人应当接受评标委员会推荐的中标候选供应商，不得在评标委员会推荐的中标候选供应商之外确定中标供应商。排名第一的中标候选供应商因不可抗力放弃中标或提出不能履行合同，招标人可以确定排名第二的中标候选供应商为中标供应商或重新招标。若三名中标候选供应商均放弃中标的，或者考察全部不合格时，应根据实际情况，按有关规定执行。</w:t>
      </w:r>
    </w:p>
    <w:p>
      <w:pPr>
        <w:adjustRightInd w:val="0"/>
        <w:snapToGrid w:val="0"/>
        <w:spacing w:before="156" w:beforeLines="50" w:after="156" w:afterLines="50" w:line="420" w:lineRule="exact"/>
        <w:jc w:val="left"/>
        <w:rPr>
          <w:rFonts w:ascii="宋体" w:cs="宋体"/>
          <w:b/>
          <w:kern w:val="0"/>
          <w:sz w:val="24"/>
        </w:rPr>
      </w:pPr>
      <w:r>
        <w:rPr>
          <w:rFonts w:ascii="宋体" w:hAnsi="宋体" w:cs="宋体"/>
          <w:b/>
          <w:kern w:val="0"/>
          <w:sz w:val="24"/>
        </w:rPr>
        <w:t xml:space="preserve">   7.</w:t>
      </w:r>
      <w:r>
        <w:rPr>
          <w:rFonts w:hint="eastAsia" w:ascii="宋体" w:hAnsi="宋体" w:cs="宋体"/>
          <w:b/>
          <w:kern w:val="0"/>
          <w:sz w:val="24"/>
        </w:rPr>
        <w:t>评标的标准</w:t>
      </w:r>
    </w:p>
    <w:p>
      <w:pPr>
        <w:adjustRightInd w:val="0"/>
        <w:snapToGrid w:val="0"/>
        <w:spacing w:line="440" w:lineRule="exact"/>
        <w:ind w:firstLine="480" w:firstLineChars="200"/>
        <w:rPr>
          <w:rFonts w:ascii="宋体" w:hAnsi="宋体"/>
          <w:sz w:val="24"/>
        </w:rPr>
      </w:pPr>
      <w:r>
        <w:rPr>
          <w:rFonts w:hint="eastAsia" w:ascii="宋体" w:hAnsi="宋体"/>
          <w:sz w:val="24"/>
        </w:rPr>
        <w:t>评标委员会对初审后满足招标文件实质性要求的投标文件，按照本评分标准进行打分，并按得分由高到低顺序推荐</w:t>
      </w:r>
      <w:r>
        <w:rPr>
          <w:rFonts w:ascii="宋体" w:hAnsi="宋体"/>
          <w:sz w:val="24"/>
        </w:rPr>
        <w:t>3</w:t>
      </w:r>
      <w:r>
        <w:rPr>
          <w:rFonts w:hint="eastAsia" w:ascii="宋体" w:hAnsi="宋体"/>
          <w:sz w:val="24"/>
        </w:rPr>
        <w:t>名中标候选供应商。综合评分相等时，以投标报价低的优先；投标报价也相等的，由招标人自行确定。</w:t>
      </w:r>
    </w:p>
    <w:p>
      <w:pPr>
        <w:pStyle w:val="19"/>
        <w:ind w:firstLine="240"/>
        <w:rPr>
          <w:rFonts w:ascii="宋体" w:hAnsi="宋体"/>
          <w:sz w:val="24"/>
        </w:rPr>
      </w:pPr>
    </w:p>
    <w:p>
      <w:pPr>
        <w:pStyle w:val="19"/>
        <w:ind w:firstLine="240"/>
        <w:rPr>
          <w:rFonts w:ascii="宋体" w:hAnsi="宋体"/>
          <w:sz w:val="24"/>
        </w:rPr>
      </w:pPr>
    </w:p>
    <w:p>
      <w:pPr>
        <w:pStyle w:val="19"/>
        <w:ind w:firstLine="240"/>
        <w:rPr>
          <w:rFonts w:ascii="宋体" w:hAnsi="宋体"/>
          <w:sz w:val="24"/>
        </w:rPr>
      </w:pPr>
    </w:p>
    <w:p>
      <w:pPr>
        <w:pStyle w:val="19"/>
        <w:ind w:firstLine="240"/>
        <w:rPr>
          <w:rFonts w:ascii="宋体" w:hAnsi="宋体"/>
          <w:sz w:val="24"/>
        </w:rPr>
      </w:pPr>
    </w:p>
    <w:p>
      <w:pPr>
        <w:adjustRightInd w:val="0"/>
        <w:snapToGrid w:val="0"/>
        <w:spacing w:line="360" w:lineRule="auto"/>
        <w:jc w:val="center"/>
        <w:rPr>
          <w:rFonts w:ascii="宋体" w:hAnsi="宋体"/>
          <w:b/>
          <w:bCs/>
          <w:sz w:val="32"/>
          <w:szCs w:val="32"/>
        </w:rPr>
      </w:pPr>
      <w:r>
        <w:rPr>
          <w:rFonts w:hint="eastAsia" w:ascii="宋体" w:hAnsi="宋体"/>
          <w:b/>
          <w:bCs/>
          <w:sz w:val="32"/>
          <w:szCs w:val="32"/>
        </w:rPr>
        <w:t>评标办法前附表</w:t>
      </w:r>
    </w:p>
    <w:tbl>
      <w:tblPr>
        <w:tblStyle w:val="20"/>
        <w:tblW w:w="9020" w:type="dxa"/>
        <w:jc w:val="center"/>
        <w:tblLayout w:type="fixed"/>
        <w:tblCellMar>
          <w:top w:w="0" w:type="dxa"/>
          <w:left w:w="108" w:type="dxa"/>
          <w:bottom w:w="0" w:type="dxa"/>
          <w:right w:w="108" w:type="dxa"/>
        </w:tblCellMar>
      </w:tblPr>
      <w:tblGrid>
        <w:gridCol w:w="1072"/>
        <w:gridCol w:w="774"/>
        <w:gridCol w:w="2223"/>
        <w:gridCol w:w="4951"/>
      </w:tblGrid>
      <w:tr>
        <w:tblPrEx>
          <w:tblCellMar>
            <w:top w:w="0" w:type="dxa"/>
            <w:left w:w="108" w:type="dxa"/>
            <w:bottom w:w="0" w:type="dxa"/>
            <w:right w:w="108" w:type="dxa"/>
          </w:tblCellMar>
        </w:tblPrEx>
        <w:trPr>
          <w:trHeight w:val="543" w:hRule="atLeast"/>
          <w:jc w:val="center"/>
        </w:trPr>
        <w:tc>
          <w:tcPr>
            <w:tcW w:w="18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b/>
                <w:color w:val="000000"/>
                <w:spacing w:val="20"/>
                <w:kern w:val="0"/>
                <w:szCs w:val="21"/>
              </w:rPr>
            </w:pPr>
            <w:r>
              <w:rPr>
                <w:rFonts w:hint="eastAsia" w:ascii="宋体" w:hAnsi="宋体" w:cs="宋体"/>
                <w:b/>
                <w:color w:val="000000"/>
                <w:spacing w:val="20"/>
                <w:kern w:val="0"/>
                <w:szCs w:val="21"/>
              </w:rPr>
              <w:t>条款号</w:t>
            </w: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b/>
                <w:color w:val="000000"/>
                <w:spacing w:val="20"/>
                <w:kern w:val="0"/>
                <w:szCs w:val="21"/>
              </w:rPr>
            </w:pPr>
            <w:r>
              <w:rPr>
                <w:rFonts w:hint="eastAsia" w:ascii="宋体" w:hAnsi="宋体" w:cs="宋体"/>
                <w:b/>
                <w:color w:val="000000"/>
                <w:spacing w:val="20"/>
                <w:kern w:val="0"/>
                <w:szCs w:val="21"/>
              </w:rPr>
              <w:t>评审因素</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b/>
                <w:color w:val="000000"/>
                <w:spacing w:val="20"/>
                <w:szCs w:val="21"/>
              </w:rPr>
            </w:pPr>
            <w:r>
              <w:rPr>
                <w:rFonts w:hint="eastAsia" w:ascii="宋体" w:hAnsi="宋体" w:cs="宋体"/>
                <w:b/>
                <w:color w:val="000000"/>
                <w:spacing w:val="20"/>
                <w:kern w:val="0"/>
                <w:szCs w:val="21"/>
              </w:rPr>
              <w:t>评审标准</w:t>
            </w:r>
          </w:p>
        </w:tc>
      </w:tr>
      <w:tr>
        <w:tblPrEx>
          <w:tblCellMar>
            <w:top w:w="0" w:type="dxa"/>
            <w:left w:w="108" w:type="dxa"/>
            <w:bottom w:w="0" w:type="dxa"/>
            <w:right w:w="108" w:type="dxa"/>
          </w:tblCellMar>
        </w:tblPrEx>
        <w:trPr>
          <w:trHeight w:val="90" w:hRule="atLeast"/>
          <w:jc w:val="center"/>
        </w:trPr>
        <w:tc>
          <w:tcPr>
            <w:tcW w:w="107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TimesNewRomanPSMT"/>
                <w:color w:val="000000"/>
                <w:spacing w:val="20"/>
                <w:kern w:val="0"/>
                <w:szCs w:val="21"/>
              </w:rPr>
            </w:pPr>
            <w:r>
              <w:rPr>
                <w:rFonts w:ascii="宋体" w:hAnsi="宋体" w:cs="TimesNewRomanPSMT"/>
                <w:color w:val="000000"/>
                <w:spacing w:val="20"/>
                <w:kern w:val="0"/>
                <w:szCs w:val="21"/>
              </w:rPr>
              <w:t>1.1.1</w:t>
            </w:r>
          </w:p>
        </w:tc>
        <w:tc>
          <w:tcPr>
            <w:tcW w:w="77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spacing w:val="20"/>
                <w:kern w:val="0"/>
                <w:sz w:val="18"/>
                <w:szCs w:val="18"/>
              </w:rPr>
            </w:pPr>
            <w:r>
              <w:rPr>
                <w:rFonts w:hint="eastAsia" w:ascii="宋体" w:hAnsi="宋体" w:cs="宋体"/>
                <w:spacing w:val="20"/>
                <w:kern w:val="0"/>
                <w:sz w:val="18"/>
                <w:szCs w:val="18"/>
              </w:rPr>
              <w:t>形式评审标准</w:t>
            </w: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spacing w:val="20"/>
                <w:kern w:val="0"/>
                <w:sz w:val="18"/>
                <w:szCs w:val="18"/>
              </w:rPr>
            </w:pPr>
            <w:r>
              <w:rPr>
                <w:rFonts w:hint="eastAsia" w:ascii="宋体" w:hAnsi="宋体" w:cs="宋体"/>
                <w:spacing w:val="20"/>
                <w:kern w:val="0"/>
                <w:sz w:val="18"/>
                <w:szCs w:val="18"/>
              </w:rPr>
              <w:t>供应商名称</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cs="宋体"/>
                <w:spacing w:val="20"/>
                <w:kern w:val="0"/>
                <w:sz w:val="18"/>
                <w:szCs w:val="18"/>
              </w:rPr>
            </w:pPr>
            <w:r>
              <w:rPr>
                <w:rFonts w:hint="eastAsia" w:ascii="宋体" w:hAnsi="宋体" w:cs="宋体"/>
                <w:spacing w:val="20"/>
                <w:kern w:val="0"/>
                <w:sz w:val="18"/>
                <w:szCs w:val="18"/>
              </w:rPr>
              <w:t>与营业执照、税务登记证、组织机构代码证</w:t>
            </w:r>
            <w:r>
              <w:rPr>
                <w:rFonts w:hint="eastAsia" w:ascii="宋体" w:hAnsi="宋体"/>
                <w:sz w:val="18"/>
                <w:szCs w:val="18"/>
              </w:rPr>
              <w:t>或</w:t>
            </w:r>
            <w:r>
              <w:rPr>
                <w:rFonts w:hint="eastAsia" w:ascii="宋体" w:hAnsi="宋体" w:cs="宋体"/>
                <w:spacing w:val="20"/>
                <w:kern w:val="0"/>
                <w:sz w:val="18"/>
                <w:szCs w:val="18"/>
              </w:rPr>
              <w:t>三证合一的营业执一致</w:t>
            </w:r>
          </w:p>
        </w:tc>
      </w:tr>
      <w:tr>
        <w:tblPrEx>
          <w:tblCellMar>
            <w:top w:w="0" w:type="dxa"/>
            <w:left w:w="108" w:type="dxa"/>
            <w:bottom w:w="0" w:type="dxa"/>
            <w:right w:w="108" w:type="dxa"/>
          </w:tblCellMar>
        </w:tblPrEx>
        <w:trPr>
          <w:trHeight w:val="589" w:hRule="exact"/>
          <w:jc w:val="center"/>
        </w:trPr>
        <w:tc>
          <w:tcPr>
            <w:tcW w:w="1072"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spacing w:val="20"/>
                <w:kern w:val="0"/>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spacing w:val="20"/>
                <w:kern w:val="0"/>
                <w:sz w:val="18"/>
                <w:szCs w:val="18"/>
              </w:rPr>
            </w:pPr>
            <w:r>
              <w:rPr>
                <w:rFonts w:hint="eastAsia" w:ascii="宋体" w:hAnsi="宋体" w:cs="宋体"/>
                <w:spacing w:val="20"/>
                <w:kern w:val="0"/>
                <w:sz w:val="18"/>
                <w:szCs w:val="18"/>
              </w:rPr>
              <w:t>投标函签字盖章</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cs="宋体"/>
                <w:spacing w:val="20"/>
                <w:kern w:val="0"/>
                <w:sz w:val="18"/>
                <w:szCs w:val="18"/>
              </w:rPr>
            </w:pPr>
            <w:r>
              <w:rPr>
                <w:rFonts w:hint="eastAsia" w:ascii="宋体" w:hAnsi="宋体" w:cs="宋体"/>
                <w:spacing w:val="20"/>
                <w:kern w:val="0"/>
                <w:sz w:val="18"/>
                <w:szCs w:val="18"/>
              </w:rPr>
              <w:t>有法定代表人或其委托代理人签字或加盖单位章</w:t>
            </w:r>
          </w:p>
        </w:tc>
      </w:tr>
      <w:tr>
        <w:tblPrEx>
          <w:tblCellMar>
            <w:top w:w="0" w:type="dxa"/>
            <w:left w:w="108" w:type="dxa"/>
            <w:bottom w:w="0" w:type="dxa"/>
            <w:right w:w="108" w:type="dxa"/>
          </w:tblCellMar>
        </w:tblPrEx>
        <w:trPr>
          <w:trHeight w:val="417" w:hRule="exact"/>
          <w:jc w:val="center"/>
        </w:trPr>
        <w:tc>
          <w:tcPr>
            <w:tcW w:w="1072"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spacing w:val="20"/>
                <w:kern w:val="0"/>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spacing w:val="20"/>
                <w:kern w:val="0"/>
                <w:sz w:val="18"/>
                <w:szCs w:val="18"/>
              </w:rPr>
            </w:pPr>
            <w:r>
              <w:rPr>
                <w:rFonts w:hint="eastAsia" w:ascii="宋体" w:hAnsi="宋体" w:cs="宋体"/>
                <w:spacing w:val="20"/>
                <w:kern w:val="0"/>
                <w:sz w:val="18"/>
                <w:szCs w:val="18"/>
              </w:rPr>
              <w:t>投标文件格式</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cs="宋体"/>
                <w:spacing w:val="20"/>
                <w:kern w:val="0"/>
                <w:sz w:val="18"/>
                <w:szCs w:val="18"/>
              </w:rPr>
            </w:pPr>
            <w:r>
              <w:rPr>
                <w:rFonts w:hint="eastAsia" w:ascii="宋体" w:hAnsi="宋体" w:cs="宋体"/>
                <w:spacing w:val="20"/>
                <w:kern w:val="0"/>
                <w:sz w:val="18"/>
                <w:szCs w:val="18"/>
              </w:rPr>
              <w:t>符合招标文件</w:t>
            </w:r>
            <w:r>
              <w:rPr>
                <w:rFonts w:hint="eastAsia" w:ascii="宋体" w:cs="TimesNewRomanPSMT"/>
                <w:spacing w:val="20"/>
                <w:kern w:val="0"/>
                <w:sz w:val="18"/>
                <w:szCs w:val="18"/>
              </w:rPr>
              <w:t>“</w:t>
            </w:r>
            <w:r>
              <w:rPr>
                <w:rFonts w:hint="eastAsia" w:ascii="宋体" w:hAnsi="宋体" w:cs="宋体"/>
                <w:spacing w:val="20"/>
                <w:kern w:val="0"/>
                <w:sz w:val="18"/>
                <w:szCs w:val="18"/>
              </w:rPr>
              <w:t>第六章 投标文件格式</w:t>
            </w:r>
            <w:r>
              <w:rPr>
                <w:rFonts w:hint="eastAsia" w:ascii="宋体" w:cs="TimesNewRomanPSMT"/>
                <w:spacing w:val="20"/>
                <w:kern w:val="0"/>
                <w:sz w:val="18"/>
                <w:szCs w:val="18"/>
              </w:rPr>
              <w:t>”</w:t>
            </w:r>
            <w:r>
              <w:rPr>
                <w:rFonts w:hint="eastAsia" w:ascii="宋体" w:hAnsi="宋体" w:cs="宋体"/>
                <w:spacing w:val="20"/>
                <w:kern w:val="0"/>
                <w:sz w:val="18"/>
                <w:szCs w:val="18"/>
              </w:rPr>
              <w:t>的要求</w:t>
            </w:r>
          </w:p>
        </w:tc>
      </w:tr>
      <w:tr>
        <w:tblPrEx>
          <w:tblCellMar>
            <w:top w:w="0" w:type="dxa"/>
            <w:left w:w="108" w:type="dxa"/>
            <w:bottom w:w="0" w:type="dxa"/>
            <w:right w:w="108" w:type="dxa"/>
          </w:tblCellMar>
        </w:tblPrEx>
        <w:trPr>
          <w:trHeight w:val="431" w:hRule="exact"/>
          <w:jc w:val="center"/>
        </w:trPr>
        <w:tc>
          <w:tcPr>
            <w:tcW w:w="1072"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color w:val="000000"/>
                <w:spacing w:val="20"/>
                <w:kern w:val="0"/>
                <w:sz w:val="18"/>
                <w:szCs w:val="18"/>
              </w:rPr>
            </w:pPr>
            <w:r>
              <w:rPr>
                <w:rFonts w:hint="eastAsia" w:ascii="宋体" w:hAnsi="宋体" w:cs="宋体"/>
                <w:color w:val="000000"/>
                <w:spacing w:val="20"/>
                <w:kern w:val="0"/>
                <w:sz w:val="18"/>
                <w:szCs w:val="18"/>
              </w:rPr>
              <w:t>报价唯一</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cs="宋体"/>
                <w:color w:val="000000"/>
                <w:spacing w:val="20"/>
                <w:kern w:val="0"/>
                <w:sz w:val="18"/>
                <w:szCs w:val="18"/>
              </w:rPr>
            </w:pPr>
            <w:r>
              <w:rPr>
                <w:rFonts w:hint="eastAsia" w:ascii="宋体" w:hAnsi="宋体" w:cs="宋体"/>
                <w:color w:val="000000"/>
                <w:spacing w:val="20"/>
                <w:kern w:val="0"/>
                <w:sz w:val="18"/>
                <w:szCs w:val="18"/>
              </w:rPr>
              <w:t>只接受一个有效报价</w:t>
            </w:r>
          </w:p>
        </w:tc>
      </w:tr>
      <w:tr>
        <w:tblPrEx>
          <w:tblCellMar>
            <w:top w:w="0" w:type="dxa"/>
            <w:left w:w="108" w:type="dxa"/>
            <w:bottom w:w="0" w:type="dxa"/>
            <w:right w:w="108" w:type="dxa"/>
          </w:tblCellMar>
        </w:tblPrEx>
        <w:trPr>
          <w:trHeight w:val="636" w:hRule="exact"/>
          <w:jc w:val="center"/>
        </w:trPr>
        <w:tc>
          <w:tcPr>
            <w:tcW w:w="1072"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TimesNewRomanPSMT"/>
                <w:color w:val="000000"/>
                <w:spacing w:val="20"/>
                <w:kern w:val="0"/>
                <w:szCs w:val="21"/>
              </w:rPr>
            </w:pPr>
            <w:r>
              <w:rPr>
                <w:rFonts w:ascii="宋体" w:hAnsi="宋体" w:cs="TimesNewRomanPSMT"/>
                <w:color w:val="000000"/>
                <w:spacing w:val="20"/>
                <w:kern w:val="0"/>
                <w:szCs w:val="21"/>
              </w:rPr>
              <w:t>1.1.2</w:t>
            </w:r>
          </w:p>
        </w:tc>
        <w:tc>
          <w:tcPr>
            <w:tcW w:w="774"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color w:val="000000"/>
                <w:spacing w:val="20"/>
                <w:kern w:val="0"/>
                <w:sz w:val="18"/>
                <w:szCs w:val="18"/>
              </w:rPr>
            </w:pPr>
            <w:r>
              <w:rPr>
                <w:rFonts w:hint="eastAsia" w:ascii="宋体" w:hAnsi="宋体" w:cs="宋体"/>
                <w:color w:val="000000"/>
                <w:spacing w:val="20"/>
                <w:kern w:val="0"/>
                <w:sz w:val="18"/>
                <w:szCs w:val="18"/>
              </w:rPr>
              <w:t>资格评审标准</w:t>
            </w:r>
          </w:p>
          <w:p>
            <w:pPr>
              <w:autoSpaceDE w:val="0"/>
              <w:autoSpaceDN w:val="0"/>
              <w:adjustRightInd w:val="0"/>
              <w:snapToGrid w:val="0"/>
              <w:spacing w:line="320" w:lineRule="exact"/>
              <w:jc w:val="center"/>
              <w:textAlignment w:val="baseline"/>
              <w:rPr>
                <w:rFonts w:ascii="宋体" w:cs="宋体"/>
                <w:color w:val="000000"/>
                <w:spacing w:val="20"/>
                <w:kern w:val="0"/>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具有独立承担民事责任的能力</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符合第二章“供应商须知前附表”</w:t>
            </w:r>
          </w:p>
        </w:tc>
      </w:tr>
      <w:tr>
        <w:tblPrEx>
          <w:tblCellMar>
            <w:top w:w="0" w:type="dxa"/>
            <w:left w:w="108" w:type="dxa"/>
            <w:bottom w:w="0" w:type="dxa"/>
            <w:right w:w="108" w:type="dxa"/>
          </w:tblCellMar>
        </w:tblPrEx>
        <w:trPr>
          <w:trHeight w:val="755" w:hRule="exact"/>
          <w:jc w:val="center"/>
        </w:trPr>
        <w:tc>
          <w:tcPr>
            <w:tcW w:w="1072" w:type="dxa"/>
            <w:vMerge w:val="continue"/>
            <w:tcBorders>
              <w:left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Cs w:val="21"/>
              </w:rPr>
            </w:pPr>
          </w:p>
        </w:tc>
        <w:tc>
          <w:tcPr>
            <w:tcW w:w="774" w:type="dxa"/>
            <w:vMerge w:val="continue"/>
            <w:tcBorders>
              <w:left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具有良好的商业信誉和健全的财务会计制度</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符合第二章“供应商须知前附表”</w:t>
            </w:r>
          </w:p>
        </w:tc>
      </w:tr>
      <w:tr>
        <w:tblPrEx>
          <w:tblCellMar>
            <w:top w:w="0" w:type="dxa"/>
            <w:left w:w="108" w:type="dxa"/>
            <w:bottom w:w="0" w:type="dxa"/>
            <w:right w:w="108" w:type="dxa"/>
          </w:tblCellMar>
        </w:tblPrEx>
        <w:trPr>
          <w:trHeight w:val="677" w:hRule="exact"/>
          <w:jc w:val="center"/>
        </w:trPr>
        <w:tc>
          <w:tcPr>
            <w:tcW w:w="1072" w:type="dxa"/>
            <w:vMerge w:val="continue"/>
            <w:tcBorders>
              <w:left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Cs w:val="21"/>
              </w:rPr>
            </w:pPr>
          </w:p>
        </w:tc>
        <w:tc>
          <w:tcPr>
            <w:tcW w:w="774" w:type="dxa"/>
            <w:vMerge w:val="continue"/>
            <w:tcBorders>
              <w:left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有依法缴纳税收和社会保障资金的良好记录</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符合第二章“供应商须知前附表”</w:t>
            </w:r>
          </w:p>
        </w:tc>
      </w:tr>
      <w:tr>
        <w:tblPrEx>
          <w:tblCellMar>
            <w:top w:w="0" w:type="dxa"/>
            <w:left w:w="108" w:type="dxa"/>
            <w:bottom w:w="0" w:type="dxa"/>
            <w:right w:w="108" w:type="dxa"/>
          </w:tblCellMar>
        </w:tblPrEx>
        <w:trPr>
          <w:trHeight w:val="781" w:hRule="exact"/>
          <w:jc w:val="center"/>
        </w:trPr>
        <w:tc>
          <w:tcPr>
            <w:tcW w:w="1072" w:type="dxa"/>
            <w:vMerge w:val="continue"/>
            <w:tcBorders>
              <w:left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Cs w:val="21"/>
              </w:rPr>
            </w:pPr>
          </w:p>
        </w:tc>
        <w:tc>
          <w:tcPr>
            <w:tcW w:w="774" w:type="dxa"/>
            <w:vMerge w:val="continue"/>
            <w:tcBorders>
              <w:left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具有履行合同所必需的设备和专业技术能力</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符合第二章“供应商须知前附表”</w:t>
            </w:r>
          </w:p>
        </w:tc>
      </w:tr>
      <w:tr>
        <w:tblPrEx>
          <w:tblCellMar>
            <w:top w:w="0" w:type="dxa"/>
            <w:left w:w="108" w:type="dxa"/>
            <w:bottom w:w="0" w:type="dxa"/>
            <w:right w:w="108" w:type="dxa"/>
          </w:tblCellMar>
        </w:tblPrEx>
        <w:trPr>
          <w:trHeight w:val="583" w:hRule="exact"/>
          <w:jc w:val="center"/>
        </w:trPr>
        <w:tc>
          <w:tcPr>
            <w:tcW w:w="1072" w:type="dxa"/>
            <w:vMerge w:val="continue"/>
            <w:tcBorders>
              <w:left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Cs w:val="21"/>
              </w:rPr>
            </w:pPr>
          </w:p>
        </w:tc>
        <w:tc>
          <w:tcPr>
            <w:tcW w:w="774" w:type="dxa"/>
            <w:vMerge w:val="continue"/>
            <w:tcBorders>
              <w:left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无重大违法记录书面声明</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符合第二章“供应商须知前附表”</w:t>
            </w:r>
          </w:p>
        </w:tc>
      </w:tr>
      <w:tr>
        <w:tblPrEx>
          <w:tblCellMar>
            <w:top w:w="0" w:type="dxa"/>
            <w:left w:w="108" w:type="dxa"/>
            <w:bottom w:w="0" w:type="dxa"/>
            <w:right w:w="108" w:type="dxa"/>
          </w:tblCellMar>
        </w:tblPrEx>
        <w:trPr>
          <w:trHeight w:val="638" w:hRule="exact"/>
          <w:jc w:val="center"/>
        </w:trPr>
        <w:tc>
          <w:tcPr>
            <w:tcW w:w="1072" w:type="dxa"/>
            <w:vMerge w:val="continue"/>
            <w:tcBorders>
              <w:left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Cs w:val="21"/>
              </w:rPr>
            </w:pPr>
          </w:p>
        </w:tc>
        <w:tc>
          <w:tcPr>
            <w:tcW w:w="774" w:type="dxa"/>
            <w:vMerge w:val="continue"/>
            <w:tcBorders>
              <w:left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信用网页查询截图</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符合第二章“供应商须知前附表”</w:t>
            </w:r>
          </w:p>
        </w:tc>
      </w:tr>
      <w:tr>
        <w:tblPrEx>
          <w:tblCellMar>
            <w:top w:w="0" w:type="dxa"/>
            <w:left w:w="108" w:type="dxa"/>
            <w:bottom w:w="0" w:type="dxa"/>
            <w:right w:w="108" w:type="dxa"/>
          </w:tblCellMar>
        </w:tblPrEx>
        <w:trPr>
          <w:trHeight w:val="638" w:hRule="exact"/>
          <w:jc w:val="center"/>
        </w:trPr>
        <w:tc>
          <w:tcPr>
            <w:tcW w:w="1072" w:type="dxa"/>
            <w:vMerge w:val="continue"/>
            <w:tcBorders>
              <w:left w:val="single" w:color="auto" w:sz="4" w:space="0"/>
              <w:bottom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Cs w:val="21"/>
              </w:rPr>
            </w:pPr>
          </w:p>
        </w:tc>
        <w:tc>
          <w:tcPr>
            <w:tcW w:w="774" w:type="dxa"/>
            <w:vMerge w:val="continue"/>
            <w:tcBorders>
              <w:left w:val="single" w:color="auto" w:sz="4" w:space="0"/>
              <w:bottom w:val="single" w:color="auto" w:sz="4" w:space="0"/>
              <w:right w:val="single" w:color="auto" w:sz="4" w:space="0"/>
            </w:tcBorders>
          </w:tcPr>
          <w:p>
            <w:pPr>
              <w:autoSpaceDE w:val="0"/>
              <w:autoSpaceDN w:val="0"/>
              <w:adjustRightInd w:val="0"/>
              <w:snapToGrid w:val="0"/>
              <w:spacing w:line="320" w:lineRule="exact"/>
              <w:jc w:val="left"/>
              <w:textAlignment w:val="baseline"/>
              <w:rPr>
                <w:rFonts w:ascii="宋体" w:cs="黑体"/>
                <w:color w:val="000000"/>
                <w:spacing w:val="20"/>
                <w:kern w:val="0"/>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其他要求</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符合第二章“供应商须知前附表”</w:t>
            </w:r>
          </w:p>
        </w:tc>
      </w:tr>
      <w:tr>
        <w:tblPrEx>
          <w:tblCellMar>
            <w:top w:w="0" w:type="dxa"/>
            <w:left w:w="108" w:type="dxa"/>
            <w:bottom w:w="0" w:type="dxa"/>
            <w:right w:w="108" w:type="dxa"/>
          </w:tblCellMar>
        </w:tblPrEx>
        <w:trPr>
          <w:trHeight w:val="602" w:hRule="atLeast"/>
          <w:jc w:val="center"/>
        </w:trPr>
        <w:tc>
          <w:tcPr>
            <w:tcW w:w="1072"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TimesNewRomanPSMT"/>
                <w:color w:val="000000"/>
                <w:spacing w:val="20"/>
                <w:kern w:val="0"/>
                <w:szCs w:val="21"/>
              </w:rPr>
            </w:pPr>
            <w:r>
              <w:rPr>
                <w:rFonts w:ascii="宋体" w:hAnsi="宋体" w:cs="TimesNewRomanPSMT"/>
                <w:color w:val="000000"/>
                <w:spacing w:val="20"/>
                <w:kern w:val="0"/>
                <w:szCs w:val="21"/>
              </w:rPr>
              <w:t>1.1.3</w:t>
            </w:r>
          </w:p>
        </w:tc>
        <w:tc>
          <w:tcPr>
            <w:tcW w:w="774"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color w:val="000000"/>
                <w:spacing w:val="20"/>
                <w:kern w:val="0"/>
                <w:sz w:val="18"/>
                <w:szCs w:val="18"/>
              </w:rPr>
            </w:pPr>
            <w:r>
              <w:rPr>
                <w:rFonts w:hint="eastAsia" w:ascii="宋体" w:hAnsi="宋体" w:cs="宋体"/>
                <w:color w:val="000000"/>
                <w:spacing w:val="20"/>
                <w:kern w:val="0"/>
                <w:sz w:val="18"/>
                <w:szCs w:val="18"/>
              </w:rPr>
              <w:t>符合性评审标准</w:t>
            </w:r>
          </w:p>
        </w:tc>
        <w:tc>
          <w:tcPr>
            <w:tcW w:w="2223"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color w:val="000000"/>
                <w:spacing w:val="20"/>
                <w:kern w:val="0"/>
                <w:sz w:val="18"/>
                <w:szCs w:val="18"/>
              </w:rPr>
            </w:pPr>
            <w:r>
              <w:rPr>
                <w:rFonts w:hint="eastAsia" w:ascii="宋体" w:hAnsi="宋体"/>
                <w:sz w:val="18"/>
                <w:szCs w:val="18"/>
              </w:rPr>
              <w:t>投标报价</w:t>
            </w:r>
          </w:p>
        </w:tc>
        <w:tc>
          <w:tcPr>
            <w:tcW w:w="4951"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cs="宋体"/>
                <w:color w:val="000000"/>
                <w:spacing w:val="20"/>
                <w:kern w:val="0"/>
                <w:sz w:val="18"/>
                <w:szCs w:val="18"/>
              </w:rPr>
            </w:pPr>
            <w:r>
              <w:rPr>
                <w:rFonts w:hint="eastAsia" w:ascii="宋体" w:hAnsi="宋体" w:cs="宋体"/>
                <w:color w:val="000000"/>
                <w:spacing w:val="20"/>
                <w:kern w:val="0"/>
                <w:sz w:val="18"/>
                <w:szCs w:val="18"/>
              </w:rPr>
              <w:t>不超过招标控制价，符合第二章</w:t>
            </w:r>
            <w:r>
              <w:rPr>
                <w:rFonts w:hint="eastAsia" w:ascii="宋体" w:cs="TimesNewRomanPSMT"/>
                <w:color w:val="000000"/>
                <w:spacing w:val="20"/>
                <w:kern w:val="0"/>
                <w:sz w:val="18"/>
                <w:szCs w:val="18"/>
              </w:rPr>
              <w:t>“</w:t>
            </w:r>
            <w:r>
              <w:rPr>
                <w:rFonts w:hint="eastAsia" w:ascii="宋体" w:hAnsi="宋体" w:cs="宋体"/>
                <w:color w:val="000000"/>
                <w:spacing w:val="20"/>
                <w:kern w:val="0"/>
                <w:sz w:val="18"/>
                <w:szCs w:val="18"/>
              </w:rPr>
              <w:t>投标须知前附表</w:t>
            </w:r>
            <w:r>
              <w:rPr>
                <w:rFonts w:hint="eastAsia" w:ascii="宋体" w:cs="TimesNewRomanPSMT"/>
                <w:color w:val="000000"/>
                <w:spacing w:val="20"/>
                <w:kern w:val="0"/>
                <w:sz w:val="18"/>
                <w:szCs w:val="18"/>
              </w:rPr>
              <w:t>”</w:t>
            </w:r>
          </w:p>
        </w:tc>
      </w:tr>
      <w:tr>
        <w:tblPrEx>
          <w:tblCellMar>
            <w:top w:w="0" w:type="dxa"/>
            <w:left w:w="108" w:type="dxa"/>
            <w:bottom w:w="0" w:type="dxa"/>
            <w:right w:w="108" w:type="dxa"/>
          </w:tblCellMar>
        </w:tblPrEx>
        <w:trPr>
          <w:trHeight w:val="602" w:hRule="atLeast"/>
          <w:jc w:val="center"/>
        </w:trPr>
        <w:tc>
          <w:tcPr>
            <w:tcW w:w="1072" w:type="dxa"/>
            <w:vMerge w:val="continue"/>
            <w:tcBorders>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cs="TimesNewRomanPSMT"/>
                <w:color w:val="000000"/>
                <w:spacing w:val="20"/>
                <w:kern w:val="0"/>
                <w:szCs w:val="21"/>
              </w:rPr>
            </w:pPr>
          </w:p>
        </w:tc>
        <w:tc>
          <w:tcPr>
            <w:tcW w:w="774" w:type="dxa"/>
            <w:vMerge w:val="continue"/>
            <w:tcBorders>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cs="宋体"/>
                <w:color w:val="000000"/>
                <w:spacing w:val="20"/>
                <w:kern w:val="0"/>
                <w:sz w:val="18"/>
                <w:szCs w:val="18"/>
              </w:rPr>
            </w:pPr>
          </w:p>
        </w:tc>
        <w:tc>
          <w:tcPr>
            <w:tcW w:w="2223"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sz w:val="18"/>
                <w:szCs w:val="18"/>
              </w:rPr>
            </w:pPr>
            <w:r>
              <w:rPr>
                <w:rFonts w:hint="eastAsia" w:ascii="宋体" w:hAnsi="宋体"/>
                <w:sz w:val="18"/>
                <w:szCs w:val="18"/>
              </w:rPr>
              <w:t>供货期</w:t>
            </w:r>
          </w:p>
        </w:tc>
        <w:tc>
          <w:tcPr>
            <w:tcW w:w="4951"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符合第二章</w:t>
            </w:r>
            <w:r>
              <w:rPr>
                <w:rFonts w:hint="eastAsia" w:ascii="宋体" w:cs="TimesNewRomanPSMT"/>
                <w:color w:val="000000"/>
                <w:spacing w:val="20"/>
                <w:kern w:val="0"/>
                <w:sz w:val="18"/>
                <w:szCs w:val="18"/>
              </w:rPr>
              <w:t>“</w:t>
            </w:r>
            <w:r>
              <w:rPr>
                <w:rFonts w:hint="eastAsia" w:ascii="宋体" w:hAnsi="宋体" w:cs="宋体"/>
                <w:color w:val="000000"/>
                <w:spacing w:val="20"/>
                <w:kern w:val="0"/>
                <w:sz w:val="18"/>
                <w:szCs w:val="18"/>
              </w:rPr>
              <w:t>投标须知前附表</w:t>
            </w:r>
            <w:r>
              <w:rPr>
                <w:rFonts w:hint="eastAsia" w:ascii="宋体" w:cs="TimesNewRomanPSMT"/>
                <w:color w:val="000000"/>
                <w:spacing w:val="20"/>
                <w:kern w:val="0"/>
                <w:sz w:val="18"/>
                <w:szCs w:val="18"/>
              </w:rPr>
              <w:t>”</w:t>
            </w:r>
          </w:p>
        </w:tc>
      </w:tr>
      <w:tr>
        <w:tblPrEx>
          <w:tblCellMar>
            <w:top w:w="0" w:type="dxa"/>
            <w:left w:w="108" w:type="dxa"/>
            <w:bottom w:w="0" w:type="dxa"/>
            <w:right w:w="108" w:type="dxa"/>
          </w:tblCellMar>
        </w:tblPrEx>
        <w:trPr>
          <w:trHeight w:val="602" w:hRule="atLeast"/>
          <w:jc w:val="center"/>
        </w:trPr>
        <w:tc>
          <w:tcPr>
            <w:tcW w:w="1072" w:type="dxa"/>
            <w:vMerge w:val="continue"/>
            <w:tcBorders>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cs="TimesNewRomanPSMT"/>
                <w:color w:val="000000"/>
                <w:spacing w:val="20"/>
                <w:kern w:val="0"/>
                <w:szCs w:val="21"/>
              </w:rPr>
            </w:pPr>
          </w:p>
        </w:tc>
        <w:tc>
          <w:tcPr>
            <w:tcW w:w="774" w:type="dxa"/>
            <w:vMerge w:val="continue"/>
            <w:tcBorders>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cs="宋体"/>
                <w:color w:val="000000"/>
                <w:spacing w:val="20"/>
                <w:kern w:val="0"/>
                <w:sz w:val="18"/>
                <w:szCs w:val="18"/>
              </w:rPr>
            </w:pPr>
          </w:p>
        </w:tc>
        <w:tc>
          <w:tcPr>
            <w:tcW w:w="2223"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hAnsi="宋体"/>
                <w:sz w:val="18"/>
                <w:szCs w:val="18"/>
              </w:rPr>
            </w:pPr>
            <w:r>
              <w:rPr>
                <w:rFonts w:hint="eastAsia" w:ascii="宋体" w:hAnsi="宋体"/>
                <w:sz w:val="18"/>
                <w:szCs w:val="18"/>
              </w:rPr>
              <w:t>质量要求</w:t>
            </w:r>
          </w:p>
        </w:tc>
        <w:tc>
          <w:tcPr>
            <w:tcW w:w="4951"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hAnsi="宋体" w:cs="宋体"/>
                <w:color w:val="000000"/>
                <w:spacing w:val="20"/>
                <w:kern w:val="0"/>
                <w:sz w:val="18"/>
                <w:szCs w:val="18"/>
              </w:rPr>
            </w:pPr>
            <w:r>
              <w:rPr>
                <w:rFonts w:hint="eastAsia" w:ascii="宋体" w:hAnsi="宋体" w:cs="宋体"/>
                <w:color w:val="000000"/>
                <w:spacing w:val="20"/>
                <w:kern w:val="0"/>
                <w:sz w:val="18"/>
                <w:szCs w:val="18"/>
              </w:rPr>
              <w:t>符合第二章</w:t>
            </w:r>
            <w:r>
              <w:rPr>
                <w:rFonts w:hint="eastAsia" w:ascii="宋体" w:cs="TimesNewRomanPSMT"/>
                <w:color w:val="000000"/>
                <w:spacing w:val="20"/>
                <w:kern w:val="0"/>
                <w:sz w:val="18"/>
                <w:szCs w:val="18"/>
              </w:rPr>
              <w:t>“</w:t>
            </w:r>
            <w:r>
              <w:rPr>
                <w:rFonts w:hint="eastAsia" w:ascii="宋体" w:hAnsi="宋体" w:cs="宋体"/>
                <w:color w:val="000000"/>
                <w:spacing w:val="20"/>
                <w:kern w:val="0"/>
                <w:sz w:val="18"/>
                <w:szCs w:val="18"/>
              </w:rPr>
              <w:t>投标须知前附表</w:t>
            </w:r>
            <w:r>
              <w:rPr>
                <w:rFonts w:hint="eastAsia" w:ascii="宋体" w:cs="TimesNewRomanPSMT"/>
                <w:color w:val="000000"/>
                <w:spacing w:val="20"/>
                <w:kern w:val="0"/>
                <w:sz w:val="18"/>
                <w:szCs w:val="18"/>
              </w:rPr>
              <w:t>”</w:t>
            </w:r>
          </w:p>
        </w:tc>
      </w:tr>
      <w:tr>
        <w:tblPrEx>
          <w:tblCellMar>
            <w:top w:w="0" w:type="dxa"/>
            <w:left w:w="108" w:type="dxa"/>
            <w:bottom w:w="0" w:type="dxa"/>
            <w:right w:w="108" w:type="dxa"/>
          </w:tblCellMar>
        </w:tblPrEx>
        <w:trPr>
          <w:trHeight w:val="671" w:hRule="atLeast"/>
          <w:jc w:val="center"/>
        </w:trPr>
        <w:tc>
          <w:tcPr>
            <w:tcW w:w="1072" w:type="dxa"/>
            <w:vMerge w:val="continue"/>
            <w:tcBorders>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TimesNewRomanPSMT"/>
                <w:color w:val="000000"/>
                <w:spacing w:val="20"/>
                <w:kern w:val="0"/>
                <w:szCs w:val="21"/>
              </w:rPr>
            </w:pPr>
          </w:p>
        </w:tc>
        <w:tc>
          <w:tcPr>
            <w:tcW w:w="774" w:type="dxa"/>
            <w:vMerge w:val="continue"/>
            <w:tcBorders>
              <w:left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color w:val="000000"/>
                <w:spacing w:val="20"/>
                <w:kern w:val="0"/>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color w:val="000000"/>
                <w:spacing w:val="20"/>
                <w:kern w:val="0"/>
                <w:sz w:val="18"/>
                <w:szCs w:val="18"/>
              </w:rPr>
            </w:pPr>
            <w:r>
              <w:rPr>
                <w:rFonts w:hint="eastAsia" w:ascii="宋体" w:hAnsi="宋体" w:cs="宋体"/>
                <w:color w:val="000000"/>
                <w:spacing w:val="20"/>
                <w:kern w:val="0"/>
                <w:sz w:val="18"/>
                <w:szCs w:val="18"/>
              </w:rPr>
              <w:t>投标有效期</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left"/>
              <w:textAlignment w:val="baseline"/>
              <w:rPr>
                <w:rFonts w:ascii="宋体" w:cs="宋体"/>
                <w:color w:val="000000"/>
                <w:spacing w:val="20"/>
                <w:kern w:val="0"/>
                <w:sz w:val="18"/>
                <w:szCs w:val="18"/>
              </w:rPr>
            </w:pPr>
            <w:r>
              <w:rPr>
                <w:rFonts w:hint="eastAsia" w:ascii="宋体" w:hAnsi="宋体" w:cs="宋体"/>
                <w:color w:val="000000"/>
                <w:spacing w:val="20"/>
                <w:kern w:val="0"/>
                <w:sz w:val="18"/>
                <w:szCs w:val="18"/>
              </w:rPr>
              <w:t>符合第二章</w:t>
            </w:r>
            <w:r>
              <w:rPr>
                <w:rFonts w:hint="eastAsia" w:ascii="宋体" w:cs="TimesNewRomanPSMT"/>
                <w:color w:val="000000"/>
                <w:spacing w:val="20"/>
                <w:kern w:val="0"/>
                <w:sz w:val="18"/>
                <w:szCs w:val="18"/>
              </w:rPr>
              <w:t>“</w:t>
            </w:r>
            <w:r>
              <w:rPr>
                <w:rFonts w:hint="eastAsia" w:ascii="宋体" w:hAnsi="宋体" w:cs="宋体"/>
                <w:color w:val="000000"/>
                <w:spacing w:val="20"/>
                <w:kern w:val="0"/>
                <w:sz w:val="18"/>
                <w:szCs w:val="18"/>
              </w:rPr>
              <w:t>投标须知前附表</w:t>
            </w:r>
            <w:r>
              <w:rPr>
                <w:rFonts w:hint="eastAsia" w:ascii="宋体" w:cs="TimesNewRomanPSMT"/>
                <w:color w:val="000000"/>
                <w:spacing w:val="20"/>
                <w:kern w:val="0"/>
                <w:sz w:val="18"/>
                <w:szCs w:val="18"/>
              </w:rPr>
              <w:t>”</w:t>
            </w:r>
          </w:p>
        </w:tc>
      </w:tr>
      <w:tr>
        <w:tblPrEx>
          <w:tblCellMar>
            <w:top w:w="0" w:type="dxa"/>
            <w:left w:w="108" w:type="dxa"/>
            <w:bottom w:w="0" w:type="dxa"/>
            <w:right w:w="108" w:type="dxa"/>
          </w:tblCellMar>
        </w:tblPrEx>
        <w:trPr>
          <w:trHeight w:val="591" w:hRule="exact"/>
          <w:jc w:val="center"/>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黑体"/>
                <w:b/>
                <w:color w:val="000000"/>
                <w:spacing w:val="20"/>
                <w:kern w:val="0"/>
                <w:szCs w:val="21"/>
              </w:rPr>
            </w:pPr>
            <w:r>
              <w:rPr>
                <w:rFonts w:hint="eastAsia" w:ascii="宋体" w:hAnsi="宋体" w:cs="宋体"/>
                <w:b/>
                <w:color w:val="000000"/>
                <w:spacing w:val="20"/>
                <w:kern w:val="0"/>
                <w:szCs w:val="21"/>
              </w:rPr>
              <w:t>条款号</w:t>
            </w:r>
          </w:p>
        </w:tc>
        <w:tc>
          <w:tcPr>
            <w:tcW w:w="29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b/>
                <w:szCs w:val="21"/>
              </w:rPr>
            </w:pPr>
            <w:r>
              <w:rPr>
                <w:rFonts w:hint="eastAsia" w:ascii="宋体" w:hAnsi="宋体"/>
                <w:b/>
                <w:szCs w:val="21"/>
              </w:rPr>
              <w:t>条款内容</w:t>
            </w:r>
          </w:p>
        </w:tc>
        <w:tc>
          <w:tcPr>
            <w:tcW w:w="49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b/>
                <w:spacing w:val="20"/>
                <w:kern w:val="0"/>
                <w:szCs w:val="21"/>
              </w:rPr>
            </w:pPr>
            <w:r>
              <w:rPr>
                <w:rFonts w:hint="eastAsia" w:ascii="宋体" w:hAnsi="宋体" w:cs="宋体"/>
                <w:b/>
                <w:spacing w:val="20"/>
                <w:kern w:val="0"/>
                <w:szCs w:val="21"/>
              </w:rPr>
              <w:t>编列内容</w:t>
            </w:r>
          </w:p>
        </w:tc>
      </w:tr>
      <w:tr>
        <w:tblPrEx>
          <w:tblCellMar>
            <w:top w:w="0" w:type="dxa"/>
            <w:left w:w="108" w:type="dxa"/>
            <w:bottom w:w="0" w:type="dxa"/>
            <w:right w:w="108" w:type="dxa"/>
          </w:tblCellMar>
        </w:tblPrEx>
        <w:trPr>
          <w:trHeight w:val="1421" w:hRule="exact"/>
          <w:jc w:val="center"/>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textAlignment w:val="baseline"/>
              <w:rPr>
                <w:rFonts w:ascii="宋体" w:cs="宋体"/>
                <w:b/>
                <w:spacing w:val="20"/>
                <w:kern w:val="0"/>
                <w:szCs w:val="21"/>
              </w:rPr>
            </w:pPr>
            <w:r>
              <w:rPr>
                <w:rFonts w:ascii="宋体" w:hAnsi="宋体" w:cs="宋体"/>
                <w:b/>
                <w:spacing w:val="20"/>
                <w:kern w:val="0"/>
                <w:szCs w:val="21"/>
              </w:rPr>
              <w:t>1.2.1</w:t>
            </w:r>
          </w:p>
        </w:tc>
        <w:tc>
          <w:tcPr>
            <w:tcW w:w="29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80" w:lineRule="auto"/>
              <w:jc w:val="center"/>
              <w:textAlignment w:val="baseline"/>
              <w:rPr>
                <w:rFonts w:ascii="宋体"/>
                <w:b/>
                <w:szCs w:val="21"/>
              </w:rPr>
            </w:pPr>
            <w:r>
              <w:rPr>
                <w:rFonts w:hint="eastAsia" w:ascii="宋体" w:hAnsi="宋体"/>
                <w:b/>
                <w:szCs w:val="21"/>
              </w:rPr>
              <w:t>分值构成</w:t>
            </w:r>
          </w:p>
        </w:tc>
        <w:tc>
          <w:tcPr>
            <w:tcW w:w="4951"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rPr>
                <w:b/>
              </w:rPr>
            </w:pPr>
            <w:r>
              <w:rPr>
                <w:rFonts w:hint="eastAsia"/>
                <w:b/>
              </w:rPr>
              <w:t>投标报价：30分</w:t>
            </w:r>
          </w:p>
          <w:p>
            <w:pPr>
              <w:snapToGrid w:val="0"/>
              <w:spacing w:line="480" w:lineRule="auto"/>
              <w:rPr>
                <w:b/>
              </w:rPr>
            </w:pPr>
            <w:r>
              <w:rPr>
                <w:rFonts w:hint="eastAsia"/>
                <w:b/>
              </w:rPr>
              <w:t>技术部分：40分</w:t>
            </w:r>
          </w:p>
          <w:p>
            <w:pPr>
              <w:snapToGrid w:val="0"/>
              <w:spacing w:line="480" w:lineRule="auto"/>
              <w:rPr>
                <w:b/>
              </w:rPr>
            </w:pPr>
            <w:r>
              <w:rPr>
                <w:rFonts w:hint="eastAsia" w:ascii="宋体" w:hAnsi="宋体" w:cs="宋体"/>
                <w:b/>
                <w:szCs w:val="21"/>
              </w:rPr>
              <w:t>综合部分：30分</w:t>
            </w:r>
          </w:p>
        </w:tc>
      </w:tr>
    </w:tbl>
    <w:p>
      <w:pPr>
        <w:shd w:val="clear" w:color="auto" w:fill="FFFFFF"/>
        <w:snapToGrid w:val="0"/>
        <w:spacing w:line="420" w:lineRule="exact"/>
        <w:ind w:firstLine="482" w:firstLineChars="200"/>
        <w:rPr>
          <w:rFonts w:ascii="宋体" w:hAnsi="宋体" w:cs="宋体"/>
          <w:b/>
          <w:bCs/>
          <w:sz w:val="24"/>
        </w:rPr>
      </w:pPr>
      <w:r>
        <w:rPr>
          <w:rFonts w:hint="eastAsia" w:ascii="宋体" w:hAnsi="宋体" w:cs="宋体"/>
          <w:b/>
          <w:sz w:val="24"/>
        </w:rPr>
        <w:t>本次公开招标采用综合评分法。评标委员会将以招标文件为评标依据，对供应商的投标文件内容按百分制打分</w:t>
      </w:r>
      <w:r>
        <w:rPr>
          <w:rFonts w:hint="eastAsia" w:ascii="宋体" w:hAnsi="宋体" w:cs="宋体"/>
          <w:b/>
          <w:bCs/>
          <w:sz w:val="24"/>
        </w:rPr>
        <w:t>，评审打分时主要考虑以下因素</w:t>
      </w:r>
      <w:r>
        <w:rPr>
          <w:rFonts w:ascii="宋体" w:hAnsi="宋体" w:cs="宋体"/>
          <w:b/>
          <w:bCs/>
          <w:sz w:val="24"/>
        </w:rPr>
        <w:t>:</w:t>
      </w:r>
    </w:p>
    <w:p>
      <w:pPr>
        <w:pStyle w:val="2"/>
        <w:ind w:firstLine="560"/>
      </w:pPr>
    </w:p>
    <w:tbl>
      <w:tblPr>
        <w:tblStyle w:val="20"/>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645"/>
        <w:gridCol w:w="1366"/>
        <w:gridCol w:w="6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551" w:type="dxa"/>
            <w:vAlign w:val="center"/>
          </w:tcPr>
          <w:p>
            <w:pPr>
              <w:jc w:val="center"/>
              <w:rPr>
                <w:rFonts w:asciiTheme="minorEastAsia" w:hAnsiTheme="minorEastAsia" w:eastAsiaTheme="minorEastAsia" w:cstheme="minorEastAsia"/>
                <w:b/>
                <w:bCs/>
                <w:sz w:val="18"/>
                <w:szCs w:val="18"/>
              </w:rPr>
            </w:pPr>
            <w:bookmarkStart w:id="112" w:name="_Toc318932195"/>
            <w:bookmarkStart w:id="113" w:name="_Toc354341640"/>
            <w:r>
              <w:rPr>
                <w:rFonts w:hint="eastAsia" w:asciiTheme="minorEastAsia" w:hAnsiTheme="minorEastAsia" w:eastAsiaTheme="minorEastAsia" w:cstheme="minorEastAsia"/>
                <w:b/>
                <w:bCs/>
                <w:sz w:val="18"/>
                <w:szCs w:val="18"/>
              </w:rPr>
              <w:t>序号</w:t>
            </w:r>
          </w:p>
        </w:tc>
        <w:tc>
          <w:tcPr>
            <w:tcW w:w="645"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评审类别</w:t>
            </w:r>
          </w:p>
        </w:tc>
        <w:tc>
          <w:tcPr>
            <w:tcW w:w="1366"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评分项目</w:t>
            </w:r>
          </w:p>
        </w:tc>
        <w:tc>
          <w:tcPr>
            <w:tcW w:w="6556"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评分标准细则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551" w:type="dxa"/>
            <w:vAlign w:val="center"/>
          </w:tcPr>
          <w:p>
            <w:pPr>
              <w:pStyle w:val="51"/>
              <w:numPr>
                <w:ilvl w:val="0"/>
                <w:numId w:val="4"/>
              </w:numPr>
              <w:ind w:firstLineChars="0"/>
              <w:jc w:val="center"/>
              <w:rPr>
                <w:rFonts w:asciiTheme="minorEastAsia" w:hAnsiTheme="minorEastAsia" w:eastAsiaTheme="minorEastAsia" w:cstheme="minorEastAsia"/>
                <w:sz w:val="18"/>
                <w:szCs w:val="18"/>
              </w:rPr>
            </w:pPr>
          </w:p>
        </w:tc>
        <w:tc>
          <w:tcPr>
            <w:tcW w:w="645" w:type="dxa"/>
            <w:vAlign w:val="center"/>
          </w:tcPr>
          <w:p>
            <w:pPr>
              <w:pStyle w:val="51"/>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投标报价</w:t>
            </w:r>
          </w:p>
        </w:tc>
        <w:tc>
          <w:tcPr>
            <w:tcW w:w="136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报价评分</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（30分）</w:t>
            </w:r>
          </w:p>
        </w:tc>
        <w:tc>
          <w:tcPr>
            <w:tcW w:w="6556" w:type="dxa"/>
            <w:vAlign w:val="center"/>
          </w:tcPr>
          <w:p>
            <w:pPr>
              <w:spacing w:line="32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1.投标报价得分=(评标基准值／有效投标人的投标报价)×30</w:t>
            </w:r>
          </w:p>
          <w:p>
            <w:pPr>
              <w:spacing w:line="32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1.1.投标人的报价超出招标控制价的，按无效标处理。</w:t>
            </w:r>
          </w:p>
          <w:p>
            <w:pPr>
              <w:spacing w:line="320" w:lineRule="exact"/>
              <w:rPr>
                <w:rFonts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rPr>
              <w:t>1.2.评标基准值为所有</w:t>
            </w:r>
            <w:r>
              <w:rPr>
                <w:rFonts w:hint="eastAsia" w:asciiTheme="minorEastAsia" w:hAnsiTheme="minorEastAsia" w:eastAsiaTheme="minorEastAsia" w:cstheme="minorEastAsia"/>
                <w:sz w:val="18"/>
                <w:szCs w:val="18"/>
                <w:highlight w:val="none"/>
              </w:rPr>
              <w:t>投标人中最低价为有效投标报价</w:t>
            </w:r>
          </w:p>
          <w:p>
            <w:pPr>
              <w:spacing w:line="32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highlight w:val="none"/>
              </w:rPr>
              <w:t>1.3.经评标委员会全体认定低于成本报价的投标将被废标</w:t>
            </w:r>
            <w:r>
              <w:rPr>
                <w:rFonts w:hint="eastAsia" w:asciiTheme="minorEastAsia" w:hAnsiTheme="minorEastAsia" w:eastAsiaTheme="minorEastAsia" w:cstheme="minorEastAsia"/>
                <w:sz w:val="18"/>
                <w:szCs w:val="18"/>
              </w:rPr>
              <w:t>，其报价不作为评分依据。</w:t>
            </w:r>
          </w:p>
          <w:p>
            <w:pPr>
              <w:spacing w:line="32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注：1、根据《政府采购促进中小企业发展暂行办法》的相关规定，对小型和微型企业制造（生产）产品的价格给予 6%的扣除，用扣除后的价格参与评审。</w:t>
            </w:r>
          </w:p>
          <w:p>
            <w:pPr>
              <w:spacing w:line="32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2、监狱企业与小微企业享受同样待遇。</w:t>
            </w:r>
          </w:p>
          <w:p>
            <w:pPr>
              <w:spacing w:line="32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若供应商既是小微企业也是监狱企业，只给予一次 6%的扣除，不叠加计算。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551" w:type="dxa"/>
            <w:vAlign w:val="center"/>
          </w:tcPr>
          <w:p>
            <w:pPr>
              <w:pStyle w:val="51"/>
              <w:numPr>
                <w:ilvl w:val="0"/>
                <w:numId w:val="4"/>
              </w:numPr>
              <w:ind w:firstLineChars="0"/>
              <w:jc w:val="center"/>
              <w:rPr>
                <w:rFonts w:asciiTheme="minorEastAsia" w:hAnsiTheme="minorEastAsia" w:eastAsiaTheme="minorEastAsia" w:cstheme="minorEastAsia"/>
                <w:sz w:val="18"/>
                <w:szCs w:val="18"/>
              </w:rPr>
            </w:pPr>
          </w:p>
        </w:tc>
        <w:tc>
          <w:tcPr>
            <w:tcW w:w="645" w:type="dxa"/>
            <w:vAlign w:val="center"/>
          </w:tcPr>
          <w:p>
            <w:pPr>
              <w:pStyle w:val="51"/>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技术部分</w:t>
            </w:r>
          </w:p>
        </w:tc>
        <w:tc>
          <w:tcPr>
            <w:tcW w:w="1366" w:type="dxa"/>
            <w:vAlign w:val="center"/>
          </w:tcPr>
          <w:p>
            <w:pPr>
              <w:widowControl/>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技术参数</w:t>
            </w:r>
            <w:r>
              <w:rPr>
                <w:rFonts w:hint="eastAsia" w:asciiTheme="minorEastAsia" w:hAnsiTheme="minorEastAsia" w:eastAsiaTheme="minorEastAsia" w:cstheme="minorEastAsia"/>
                <w:kern w:val="0"/>
                <w:sz w:val="18"/>
                <w:szCs w:val="18"/>
              </w:rPr>
              <w:t>响应情况（40分）</w:t>
            </w:r>
          </w:p>
        </w:tc>
        <w:tc>
          <w:tcPr>
            <w:tcW w:w="6556" w:type="dxa"/>
            <w:vAlign w:val="center"/>
          </w:tcPr>
          <w:p>
            <w:p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技术参数全部满足招标文件要求的，得基本分40分，</w:t>
            </w:r>
          </w:p>
          <w:p>
            <w:p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技术参数不满足招标文件要求的（负偏离）：</w:t>
            </w:r>
          </w:p>
          <w:p>
            <w:p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有一项不满足的在基本分的基础上扣2分，扣完为止。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3" w:hRule="atLeast"/>
        </w:trPr>
        <w:tc>
          <w:tcPr>
            <w:tcW w:w="551" w:type="dxa"/>
            <w:vMerge w:val="restart"/>
            <w:vAlign w:val="center"/>
          </w:tcPr>
          <w:p>
            <w:pPr>
              <w:pStyle w:val="51"/>
              <w:numPr>
                <w:ilvl w:val="0"/>
                <w:numId w:val="4"/>
              </w:numPr>
              <w:ind w:firstLineChars="0"/>
              <w:jc w:val="center"/>
              <w:rPr>
                <w:rFonts w:asciiTheme="minorEastAsia" w:hAnsiTheme="minorEastAsia" w:eastAsiaTheme="minorEastAsia" w:cstheme="minorEastAsia"/>
                <w:sz w:val="18"/>
                <w:szCs w:val="18"/>
              </w:rPr>
            </w:pPr>
          </w:p>
        </w:tc>
        <w:tc>
          <w:tcPr>
            <w:tcW w:w="645" w:type="dxa"/>
            <w:vMerge w:val="restart"/>
            <w:vAlign w:val="center"/>
          </w:tcPr>
          <w:p>
            <w:pPr>
              <w:pStyle w:val="51"/>
              <w:ind w:firstLine="0" w:firstLineChars="0"/>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综合部分</w:t>
            </w:r>
          </w:p>
        </w:tc>
        <w:tc>
          <w:tcPr>
            <w:tcW w:w="1366" w:type="dxa"/>
            <w:vAlign w:val="center"/>
          </w:tcPr>
          <w:p>
            <w:pPr>
              <w:pStyle w:val="2"/>
              <w:ind w:firstLine="0" w:firstLineChars="0"/>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企业荣誉</w:t>
            </w:r>
          </w:p>
          <w:p>
            <w:pPr>
              <w:pStyle w:val="2"/>
              <w:ind w:firstLine="0" w:firstLineChars="0"/>
              <w:rPr>
                <w:rFonts w:asciiTheme="minorEastAsia" w:hAnsiTheme="minorEastAsia" w:eastAsiaTheme="minorEastAsia" w:cstheme="minorEastAsia"/>
                <w:b/>
                <w:bCs/>
                <w:sz w:val="15"/>
                <w:szCs w:val="15"/>
              </w:rPr>
            </w:pPr>
            <w:r>
              <w:rPr>
                <w:rFonts w:hint="eastAsia" w:asciiTheme="minorEastAsia" w:hAnsiTheme="minorEastAsia" w:eastAsiaTheme="minorEastAsia" w:cstheme="minorEastAsia"/>
                <w:kern w:val="0"/>
                <w:sz w:val="18"/>
                <w:szCs w:val="18"/>
              </w:rPr>
              <w:t>（13分）</w:t>
            </w:r>
          </w:p>
        </w:tc>
        <w:tc>
          <w:tcPr>
            <w:tcW w:w="6556" w:type="dxa"/>
            <w:vAlign w:val="center"/>
          </w:tcPr>
          <w:p>
            <w:pPr>
              <w:widowControl/>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bidi="ar"/>
              </w:rPr>
              <w:t xml:space="preserve">1、供应商具有专业评级机构出具的信用等级 AAA 级的得 2分，评为 AA 级的得 1 分。 </w:t>
            </w:r>
          </w:p>
          <w:p>
            <w:pPr>
              <w:widowControl/>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bidi="ar"/>
              </w:rPr>
              <w:t xml:space="preserve">注：信用等级以信用评估报告为准，信用评估报告在投标文件中附扫描件，要求如下： </w:t>
            </w:r>
          </w:p>
          <w:p>
            <w:pPr>
              <w:widowControl/>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bidi="ar"/>
              </w:rPr>
              <w:t xml:space="preserve">（1）供应商应提供经河南省信用建设促进会备案认可的信用评级机构出具的信用评估报告原件扫描件；信用评级机构以“信用河南网”（网址 http://www.xyhnw.com/）公布的“河南省社会信用服务机构备案及考评合格机构公告”为准。 </w:t>
            </w:r>
          </w:p>
          <w:p>
            <w:pPr>
              <w:widowControl/>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bidi="ar"/>
              </w:rPr>
              <w:t xml:space="preserve">（2）外省供应商应提供经省级以上社会信用管理部门备案认可的信用评级机构出具的信用评估报告原件扫描件，并同时出具信用评级机构相应的资质材料扫描件。 </w:t>
            </w:r>
          </w:p>
          <w:p>
            <w:pPr>
              <w:widowControl/>
              <w:jc w:val="left"/>
              <w:rPr>
                <w:rFonts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2、供应商具有质量管理体系认证 ISO9001，环境管理体系认证 ISO14001，职业健康安全管理 OHSAS18001 体系认证的满分 3 分,缺一项扣 1 分，扣完为止。</w:t>
            </w:r>
          </w:p>
          <w:p>
            <w:pPr>
              <w:widowControl/>
              <w:jc w:val="left"/>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3、企业获得国家级奖项每一项的1分 ，省级0.5分，满分3分。</w:t>
            </w:r>
          </w:p>
          <w:p>
            <w:pPr>
              <w:pStyle w:val="2"/>
              <w:ind w:firstLine="0" w:firstLineChars="0"/>
              <w:rPr>
                <w:sz w:val="18"/>
                <w:szCs w:val="18"/>
                <w:lang w:bidi="ar"/>
              </w:rPr>
            </w:pPr>
            <w:r>
              <w:rPr>
                <w:rFonts w:hint="eastAsia"/>
                <w:color w:val="auto"/>
                <w:sz w:val="18"/>
                <w:szCs w:val="18"/>
                <w:highlight w:val="none"/>
                <w:lang w:bidi="ar"/>
              </w:rPr>
              <w:t>4，供应商提供产品中获得来具有近三年国家颁发的专利证书每一项的1分，满分5分。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551" w:type="dxa"/>
            <w:vMerge w:val="continue"/>
            <w:vAlign w:val="center"/>
          </w:tcPr>
          <w:p>
            <w:pPr>
              <w:pStyle w:val="51"/>
              <w:ind w:firstLineChars="0"/>
              <w:jc w:val="center"/>
              <w:rPr>
                <w:rFonts w:asciiTheme="minorEastAsia" w:hAnsiTheme="minorEastAsia" w:eastAsiaTheme="minorEastAsia" w:cstheme="minorEastAsia"/>
                <w:sz w:val="18"/>
                <w:szCs w:val="18"/>
              </w:rPr>
            </w:pPr>
          </w:p>
        </w:tc>
        <w:tc>
          <w:tcPr>
            <w:tcW w:w="645" w:type="dxa"/>
            <w:vMerge w:val="continue"/>
            <w:vAlign w:val="center"/>
          </w:tcPr>
          <w:p>
            <w:pPr>
              <w:pStyle w:val="51"/>
              <w:ind w:firstLine="0" w:firstLineChars="0"/>
              <w:rPr>
                <w:rFonts w:asciiTheme="minorEastAsia" w:hAnsiTheme="minorEastAsia" w:eastAsiaTheme="minorEastAsia" w:cstheme="minorEastAsia"/>
                <w:sz w:val="18"/>
                <w:szCs w:val="18"/>
              </w:rPr>
            </w:pPr>
          </w:p>
        </w:tc>
        <w:tc>
          <w:tcPr>
            <w:tcW w:w="136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业绩</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（3分）</w:t>
            </w:r>
          </w:p>
        </w:tc>
        <w:tc>
          <w:tcPr>
            <w:tcW w:w="6556" w:type="dxa"/>
            <w:vAlign w:val="center"/>
          </w:tcPr>
          <w:p>
            <w:p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供应商每提供1份 2017 年1月1日以来供应商签订有效合同，得1分， 最多得3分。（投标文件中附合同原件的扫描件、中标通知书原件的扫描件并电子签章，少一项不得分。）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551" w:type="dxa"/>
            <w:vMerge w:val="continue"/>
            <w:vAlign w:val="center"/>
          </w:tcPr>
          <w:p>
            <w:pPr>
              <w:pStyle w:val="51"/>
              <w:ind w:firstLineChars="0"/>
              <w:jc w:val="center"/>
              <w:rPr>
                <w:rFonts w:asciiTheme="minorEastAsia" w:hAnsiTheme="minorEastAsia" w:eastAsiaTheme="minorEastAsia" w:cstheme="minorEastAsia"/>
                <w:sz w:val="18"/>
                <w:szCs w:val="18"/>
              </w:rPr>
            </w:pPr>
          </w:p>
        </w:tc>
        <w:tc>
          <w:tcPr>
            <w:tcW w:w="645" w:type="dxa"/>
            <w:vMerge w:val="continue"/>
            <w:vAlign w:val="center"/>
          </w:tcPr>
          <w:p>
            <w:pPr>
              <w:pStyle w:val="51"/>
              <w:ind w:firstLine="0" w:firstLineChars="0"/>
              <w:rPr>
                <w:rFonts w:asciiTheme="minorEastAsia" w:hAnsiTheme="minorEastAsia" w:eastAsiaTheme="minorEastAsia" w:cstheme="minorEastAsia"/>
                <w:sz w:val="18"/>
                <w:szCs w:val="18"/>
              </w:rPr>
            </w:pPr>
          </w:p>
        </w:tc>
        <w:tc>
          <w:tcPr>
            <w:tcW w:w="1366"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售后服务</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（5分）</w:t>
            </w:r>
          </w:p>
        </w:tc>
        <w:tc>
          <w:tcPr>
            <w:tcW w:w="6556" w:type="dxa"/>
            <w:vAlign w:val="center"/>
          </w:tcPr>
          <w:p>
            <w:pPr>
              <w:widowControl/>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 xml:space="preserve">（1）质保期内服务承诺，0.5-1分； </w:t>
            </w:r>
          </w:p>
          <w:p>
            <w:pPr>
              <w:widowControl/>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 xml:space="preserve">（2）质保期外服务承诺，0.5-1 分； </w:t>
            </w:r>
          </w:p>
          <w:p>
            <w:pPr>
              <w:widowControl/>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 xml:space="preserve">（3）应急服务响应时间承诺0.5-1 分； </w:t>
            </w:r>
          </w:p>
          <w:p>
            <w:pPr>
              <w:widowControl/>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 xml:space="preserve">（4）故障排除时间承诺，0.5-1分； </w:t>
            </w:r>
          </w:p>
          <w:p>
            <w:pPr>
              <w:widowControl/>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 xml:space="preserve">（5）售后服务人员的技术水平，0.5-1 分。 </w:t>
            </w:r>
          </w:p>
          <w:p>
            <w:pPr>
              <w:widowControl/>
              <w:jc w:val="left"/>
              <w:rPr>
                <w:rFonts w:asciiTheme="minorEastAsia" w:hAnsiTheme="minorEastAsia" w:eastAsiaTheme="minorEastAsia" w:cstheme="minorEastAsia"/>
                <w:b/>
                <w:spacing w:val="1"/>
                <w:kern w:val="0"/>
                <w:sz w:val="18"/>
                <w:szCs w:val="18"/>
              </w:rPr>
            </w:pPr>
            <w:r>
              <w:rPr>
                <w:rFonts w:hint="eastAsia" w:asciiTheme="minorEastAsia" w:hAnsiTheme="minorEastAsia" w:eastAsiaTheme="minorEastAsia" w:cstheme="minorEastAsia"/>
                <w:b/>
                <w:kern w:val="0"/>
                <w:sz w:val="18"/>
                <w:szCs w:val="18"/>
                <w:lang w:bidi="ar"/>
              </w:rPr>
              <w:t>注：以上如有缺项，则该小项得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51" w:type="dxa"/>
            <w:vMerge w:val="continue"/>
            <w:vAlign w:val="center"/>
          </w:tcPr>
          <w:p>
            <w:pPr>
              <w:pStyle w:val="51"/>
              <w:ind w:firstLineChars="0"/>
              <w:jc w:val="center"/>
              <w:rPr>
                <w:rFonts w:asciiTheme="minorEastAsia" w:hAnsiTheme="minorEastAsia" w:eastAsiaTheme="minorEastAsia" w:cstheme="minorEastAsia"/>
                <w:sz w:val="18"/>
                <w:szCs w:val="18"/>
              </w:rPr>
            </w:pPr>
          </w:p>
        </w:tc>
        <w:tc>
          <w:tcPr>
            <w:tcW w:w="645" w:type="dxa"/>
            <w:vMerge w:val="continue"/>
            <w:vAlign w:val="center"/>
          </w:tcPr>
          <w:p>
            <w:pPr>
              <w:pStyle w:val="51"/>
              <w:ind w:firstLine="0" w:firstLineChars="0"/>
              <w:rPr>
                <w:rFonts w:asciiTheme="minorEastAsia" w:hAnsiTheme="minorEastAsia" w:eastAsiaTheme="minorEastAsia" w:cstheme="minorEastAsia"/>
                <w:sz w:val="18"/>
                <w:szCs w:val="18"/>
              </w:rPr>
            </w:pPr>
          </w:p>
        </w:tc>
        <w:tc>
          <w:tcPr>
            <w:tcW w:w="1366" w:type="dxa"/>
            <w:vAlign w:val="center"/>
          </w:tcPr>
          <w:p>
            <w:pPr>
              <w:jc w:val="left"/>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提供安装验收等方案（</w:t>
            </w:r>
            <w:r>
              <w:rPr>
                <w:rFonts w:hint="eastAsia" w:asciiTheme="minorEastAsia" w:hAnsiTheme="minorEastAsia" w:eastAsiaTheme="minorEastAsia" w:cstheme="minorEastAsia"/>
                <w:color w:val="000000"/>
                <w:sz w:val="18"/>
                <w:szCs w:val="18"/>
              </w:rPr>
              <w:t>9分</w:t>
            </w:r>
            <w:r>
              <w:rPr>
                <w:rFonts w:hint="eastAsia" w:asciiTheme="minorEastAsia" w:hAnsiTheme="minorEastAsia" w:eastAsiaTheme="minorEastAsia" w:cstheme="minorEastAsia"/>
                <w:color w:val="000000"/>
                <w:sz w:val="18"/>
                <w:szCs w:val="18"/>
                <w:lang w:val="zh-CN"/>
              </w:rPr>
              <w:t>）</w:t>
            </w:r>
          </w:p>
        </w:tc>
        <w:tc>
          <w:tcPr>
            <w:tcW w:w="6556" w:type="dxa"/>
            <w:vAlign w:val="center"/>
          </w:tcPr>
          <w:p>
            <w:pPr>
              <w:jc w:val="left"/>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提供</w:t>
            </w:r>
            <w:r>
              <w:rPr>
                <w:rFonts w:hint="eastAsia" w:asciiTheme="minorEastAsia" w:hAnsiTheme="minorEastAsia" w:eastAsiaTheme="minorEastAsia" w:cstheme="minorEastAsia"/>
                <w:color w:val="000000"/>
                <w:sz w:val="18"/>
                <w:szCs w:val="18"/>
                <w:lang w:val="zh-CN" w:eastAsia="zh-CN"/>
              </w:rPr>
              <w:t>科学、</w:t>
            </w:r>
            <w:r>
              <w:rPr>
                <w:rFonts w:hint="eastAsia" w:asciiTheme="minorEastAsia" w:hAnsiTheme="minorEastAsia" w:eastAsiaTheme="minorEastAsia" w:cstheme="minorEastAsia"/>
                <w:color w:val="000000"/>
                <w:sz w:val="18"/>
                <w:szCs w:val="18"/>
                <w:lang w:val="zh-CN"/>
              </w:rPr>
              <w:t>合理可</w:t>
            </w:r>
            <w:r>
              <w:rPr>
                <w:rFonts w:hint="eastAsia" w:asciiTheme="minorEastAsia" w:hAnsiTheme="minorEastAsia" w:eastAsiaTheme="minorEastAsia" w:cstheme="minorEastAsia"/>
                <w:color w:val="000000"/>
                <w:sz w:val="18"/>
                <w:szCs w:val="18"/>
                <w:highlight w:val="none"/>
                <w:lang w:val="zh-CN"/>
              </w:rPr>
              <w:t>行的</w:t>
            </w:r>
            <w:r>
              <w:rPr>
                <w:rFonts w:hint="eastAsia" w:asciiTheme="minorEastAsia" w:hAnsiTheme="minorEastAsia" w:eastAsiaTheme="minorEastAsia" w:cstheme="minorEastAsia"/>
                <w:color w:val="FF0000"/>
                <w:sz w:val="18"/>
                <w:szCs w:val="18"/>
                <w:highlight w:val="none"/>
              </w:rPr>
              <w:t>设</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设</w:t>
            </w:r>
            <w:r>
              <w:rPr>
                <w:rFonts w:hint="eastAsia" w:asciiTheme="minorEastAsia" w:hAnsiTheme="minorEastAsia" w:eastAsiaTheme="minorEastAsia" w:cstheme="minorEastAsia"/>
                <w:color w:val="000000"/>
                <w:sz w:val="18"/>
                <w:szCs w:val="18"/>
                <w:highlight w:val="none"/>
              </w:rPr>
              <w:t>备平面布置图</w:t>
            </w:r>
            <w:r>
              <w:rPr>
                <w:rFonts w:hint="eastAsia" w:asciiTheme="minorEastAsia" w:hAnsiTheme="minorEastAsia" w:eastAsiaTheme="minorEastAsia" w:cstheme="minorEastAsia"/>
                <w:color w:val="000000"/>
                <w:sz w:val="18"/>
                <w:szCs w:val="18"/>
                <w:highlight w:val="none"/>
                <w:lang w:eastAsia="zh-CN"/>
              </w:rPr>
              <w:t>（场地面积约</w:t>
            </w:r>
            <w:r>
              <w:rPr>
                <w:rFonts w:hint="eastAsia" w:asciiTheme="minorEastAsia" w:hAnsiTheme="minorEastAsia" w:eastAsiaTheme="minorEastAsia" w:cstheme="minorEastAsia"/>
                <w:color w:val="000000"/>
                <w:sz w:val="18"/>
                <w:szCs w:val="18"/>
                <w:highlight w:val="none"/>
                <w:lang w:val="en-US" w:eastAsia="zh-CN"/>
              </w:rPr>
              <w:t>500平米</w:t>
            </w:r>
            <w:r>
              <w:rPr>
                <w:rFonts w:hint="eastAsia" w:asciiTheme="minorEastAsia" w:hAnsiTheme="minorEastAsia" w:eastAsiaTheme="minorEastAsia" w:cstheme="minorEastAsia"/>
                <w:color w:val="000000"/>
                <w:sz w:val="18"/>
                <w:szCs w:val="18"/>
                <w:highlight w:val="none"/>
                <w:lang w:eastAsia="zh-CN"/>
              </w:rPr>
              <w:t>）</w:t>
            </w:r>
            <w:r>
              <w:rPr>
                <w:rFonts w:hint="eastAsia" w:asciiTheme="minorEastAsia" w:hAnsiTheme="minorEastAsia" w:eastAsiaTheme="minorEastAsia" w:cstheme="minorEastAsia"/>
                <w:color w:val="000000"/>
                <w:sz w:val="18"/>
                <w:szCs w:val="18"/>
                <w:highlight w:val="none"/>
                <w:lang w:val="en-US" w:eastAsia="zh-CN"/>
              </w:rPr>
              <w:t>1</w:t>
            </w:r>
            <w:r>
              <w:rPr>
                <w:rFonts w:hint="eastAsia" w:asciiTheme="minorEastAsia" w:hAnsiTheme="minorEastAsia" w:eastAsiaTheme="minorEastAsia" w:cstheme="minorEastAsia"/>
                <w:color w:val="000000"/>
                <w:sz w:val="18"/>
                <w:szCs w:val="18"/>
                <w:highlight w:val="none"/>
              </w:rPr>
              <w:t>-4分</w:t>
            </w:r>
            <w:r>
              <w:rPr>
                <w:rFonts w:hint="eastAsia" w:asciiTheme="minorEastAsia" w:hAnsiTheme="minorEastAsia" w:eastAsiaTheme="minorEastAsia" w:cstheme="minorEastAsia"/>
                <w:color w:val="000000"/>
                <w:sz w:val="18"/>
                <w:szCs w:val="18"/>
                <w:highlight w:val="none"/>
                <w:lang w:eastAsia="zh-CN"/>
              </w:rPr>
              <w:t>；提供完整的</w:t>
            </w:r>
            <w:r>
              <w:rPr>
                <w:rFonts w:hint="eastAsia" w:asciiTheme="minorEastAsia" w:hAnsiTheme="minorEastAsia" w:eastAsiaTheme="minorEastAsia" w:cstheme="minorEastAsia"/>
                <w:color w:val="000000"/>
                <w:sz w:val="18"/>
                <w:szCs w:val="18"/>
                <w:highlight w:val="none"/>
                <w:lang w:val="zh-CN"/>
              </w:rPr>
              <w:t>安装、调试、试运行方案（</w:t>
            </w:r>
            <w:r>
              <w:rPr>
                <w:rFonts w:hint="eastAsia" w:asciiTheme="minorEastAsia" w:hAnsiTheme="minorEastAsia" w:eastAsiaTheme="minorEastAsia" w:cstheme="minorEastAsia"/>
                <w:color w:val="000000"/>
                <w:sz w:val="18"/>
                <w:szCs w:val="18"/>
                <w:highlight w:val="none"/>
              </w:rPr>
              <w:t>优秀得</w:t>
            </w:r>
            <w:r>
              <w:rPr>
                <w:rFonts w:hint="eastAsia" w:asciiTheme="minorEastAsia" w:hAnsiTheme="minorEastAsia" w:eastAsiaTheme="minorEastAsia" w:cstheme="minorEastAsia"/>
                <w:color w:val="000000"/>
                <w:sz w:val="18"/>
                <w:szCs w:val="18"/>
                <w:highlight w:val="none"/>
                <w:lang w:val="en-US" w:eastAsia="zh-CN"/>
              </w:rPr>
              <w:t>4</w:t>
            </w:r>
            <w:r>
              <w:rPr>
                <w:rFonts w:hint="eastAsia" w:asciiTheme="minorEastAsia" w:hAnsiTheme="minorEastAsia" w:eastAsiaTheme="minorEastAsia" w:cstheme="minorEastAsia"/>
                <w:color w:val="000000"/>
                <w:sz w:val="18"/>
                <w:szCs w:val="18"/>
                <w:highlight w:val="none"/>
              </w:rPr>
              <w:t>-</w:t>
            </w:r>
            <w:r>
              <w:rPr>
                <w:rFonts w:hint="eastAsia" w:asciiTheme="minorEastAsia" w:hAnsiTheme="minorEastAsia" w:eastAsiaTheme="minorEastAsia" w:cstheme="minorEastAsia"/>
                <w:color w:val="000000"/>
                <w:sz w:val="18"/>
                <w:szCs w:val="18"/>
                <w:highlight w:val="none"/>
                <w:lang w:val="en-US" w:eastAsia="zh-CN"/>
              </w:rPr>
              <w:t>5</w:t>
            </w:r>
            <w:r>
              <w:rPr>
                <w:rFonts w:hint="eastAsia" w:asciiTheme="minorEastAsia" w:hAnsiTheme="minorEastAsia" w:eastAsiaTheme="minorEastAsia" w:cstheme="minorEastAsia"/>
                <w:color w:val="000000"/>
                <w:sz w:val="18"/>
                <w:szCs w:val="18"/>
                <w:highlight w:val="none"/>
              </w:rPr>
              <w:t xml:space="preserve">分，良好得 </w:t>
            </w:r>
            <w:r>
              <w:rPr>
                <w:rFonts w:hint="eastAsia" w:asciiTheme="minorEastAsia" w:hAnsiTheme="minorEastAsia" w:eastAsiaTheme="minorEastAsia" w:cstheme="minorEastAsia"/>
                <w:color w:val="000000"/>
                <w:sz w:val="18"/>
                <w:szCs w:val="18"/>
                <w:highlight w:val="none"/>
                <w:lang w:val="en-US" w:eastAsia="zh-CN"/>
              </w:rPr>
              <w:t>2</w:t>
            </w:r>
            <w:r>
              <w:rPr>
                <w:rFonts w:hint="eastAsia" w:asciiTheme="minorEastAsia" w:hAnsiTheme="minorEastAsia" w:eastAsiaTheme="minorEastAsia" w:cstheme="minorEastAsia"/>
                <w:color w:val="000000"/>
                <w:sz w:val="18"/>
                <w:szCs w:val="18"/>
                <w:highlight w:val="none"/>
              </w:rPr>
              <w:t>-</w:t>
            </w:r>
            <w:r>
              <w:rPr>
                <w:rFonts w:hint="eastAsia" w:asciiTheme="minorEastAsia" w:hAnsiTheme="minorEastAsia" w:eastAsiaTheme="minorEastAsia" w:cstheme="minorEastAsia"/>
                <w:color w:val="000000"/>
                <w:sz w:val="18"/>
                <w:szCs w:val="18"/>
                <w:highlight w:val="none"/>
                <w:lang w:val="en-US" w:eastAsia="zh-CN"/>
              </w:rPr>
              <w:t>3</w:t>
            </w:r>
            <w:r>
              <w:rPr>
                <w:rFonts w:hint="eastAsia" w:asciiTheme="minorEastAsia" w:hAnsiTheme="minorEastAsia" w:eastAsiaTheme="minorEastAsia" w:cstheme="minorEastAsia"/>
                <w:color w:val="000000"/>
                <w:sz w:val="18"/>
                <w:szCs w:val="18"/>
                <w:highlight w:val="none"/>
              </w:rPr>
              <w:t>分，一般得0-</w:t>
            </w:r>
            <w:r>
              <w:rPr>
                <w:rFonts w:hint="eastAsia" w:asciiTheme="minorEastAsia" w:hAnsiTheme="minorEastAsia" w:eastAsiaTheme="minorEastAsia" w:cstheme="minorEastAsia"/>
                <w:color w:val="000000"/>
                <w:sz w:val="18"/>
                <w:szCs w:val="18"/>
                <w:highlight w:val="none"/>
                <w:lang w:val="en-US" w:eastAsia="zh-CN"/>
              </w:rPr>
              <w:t>1</w:t>
            </w:r>
            <w:r>
              <w:rPr>
                <w:rFonts w:hint="eastAsia" w:asciiTheme="minorEastAsia" w:hAnsiTheme="minorEastAsia" w:eastAsiaTheme="minorEastAsia" w:cstheme="minorEastAsia"/>
                <w:color w:val="000000"/>
                <w:sz w:val="18"/>
                <w:szCs w:val="18"/>
                <w:highlight w:val="none"/>
              </w:rPr>
              <w:t>分</w:t>
            </w:r>
            <w:r>
              <w:rPr>
                <w:rFonts w:hint="eastAsia" w:asciiTheme="minorEastAsia" w:hAnsiTheme="minorEastAsia" w:eastAsiaTheme="minorEastAsia" w:cstheme="minorEastAsia"/>
                <w:color w:val="000000"/>
                <w:sz w:val="18"/>
                <w:szCs w:val="18"/>
                <w:highlight w:val="none"/>
                <w:lang w:val="zh-CN"/>
              </w:rPr>
              <w:t>）。</w:t>
            </w:r>
          </w:p>
        </w:tc>
      </w:tr>
    </w:tbl>
    <w:p>
      <w:pPr>
        <w:pStyle w:val="3"/>
        <w:numPr>
          <w:ilvl w:val="0"/>
          <w:numId w:val="1"/>
        </w:numPr>
        <w:spacing w:before="100" w:after="100" w:line="440" w:lineRule="exact"/>
        <w:jc w:val="center"/>
        <w:rPr>
          <w:rFonts w:ascii="宋体" w:hAnsi="宋体" w:cs="Arial"/>
          <w:sz w:val="36"/>
          <w:szCs w:val="36"/>
        </w:rPr>
      </w:pPr>
      <w:bookmarkStart w:id="114" w:name="_Toc28926"/>
      <w:bookmarkStart w:id="115" w:name="_Toc29576_WPSOffice_Level1"/>
      <w:r>
        <w:rPr>
          <w:rFonts w:hint="eastAsia" w:ascii="宋体" w:hAnsi="宋体" w:cs="Arial"/>
          <w:sz w:val="36"/>
          <w:szCs w:val="36"/>
        </w:rPr>
        <w:t>合同条款及格式</w:t>
      </w:r>
      <w:bookmarkEnd w:id="112"/>
      <w:bookmarkEnd w:id="113"/>
      <w:bookmarkEnd w:id="114"/>
      <w:bookmarkEnd w:id="115"/>
    </w:p>
    <w:p>
      <w:pPr>
        <w:spacing w:line="440" w:lineRule="exact"/>
        <w:jc w:val="center"/>
      </w:pPr>
      <w:r>
        <w:rPr>
          <w:rFonts w:hint="eastAsia"/>
        </w:rPr>
        <w:t>（以实际签订合同为准，仅供参考）</w:t>
      </w:r>
    </w:p>
    <w:p>
      <w:pPr>
        <w:spacing w:line="500" w:lineRule="exact"/>
        <w:rPr>
          <w:rFonts w:ascii="宋体" w:hAnsi="宋体" w:cs="宋体"/>
          <w:sz w:val="24"/>
        </w:rPr>
      </w:pPr>
      <w:r>
        <w:rPr>
          <w:rFonts w:hint="eastAsia" w:ascii="宋体" w:hAnsi="宋体" w:cs="宋体"/>
          <w:sz w:val="24"/>
        </w:rPr>
        <w:t>甲方</w:t>
      </w:r>
      <w:r>
        <w:rPr>
          <w:rFonts w:hint="eastAsia" w:ascii="宋体" w:hAnsi="宋体" w:cs="宋体"/>
          <w:sz w:val="24"/>
          <w:u w:val="single"/>
        </w:rPr>
        <w:t xml:space="preserve">：(采购单位)   </w:t>
      </w:r>
    </w:p>
    <w:p>
      <w:pPr>
        <w:spacing w:line="500" w:lineRule="exact"/>
        <w:rPr>
          <w:rFonts w:ascii="宋体" w:hAnsi="宋体" w:cs="宋体"/>
          <w:sz w:val="24"/>
        </w:rPr>
      </w:pPr>
      <w:r>
        <w:rPr>
          <w:rFonts w:hint="eastAsia" w:ascii="宋体" w:hAnsi="宋体" w:cs="宋体"/>
          <w:sz w:val="24"/>
        </w:rPr>
        <w:t>乙方</w:t>
      </w:r>
      <w:r>
        <w:rPr>
          <w:rFonts w:hint="eastAsia" w:ascii="宋体" w:hAnsi="宋体" w:cs="宋体"/>
          <w:sz w:val="24"/>
          <w:u w:val="single"/>
        </w:rPr>
        <w:t xml:space="preserve">：(供应商)         </w:t>
      </w:r>
    </w:p>
    <w:p>
      <w:pPr>
        <w:spacing w:line="500" w:lineRule="exact"/>
        <w:rPr>
          <w:rFonts w:ascii="宋体" w:hAnsi="宋体" w:cs="宋体"/>
          <w:sz w:val="24"/>
        </w:rPr>
      </w:pPr>
      <w:r>
        <w:rPr>
          <w:rFonts w:hint="eastAsia" w:ascii="宋体" w:hAnsi="宋体" w:cs="宋体"/>
          <w:sz w:val="24"/>
        </w:rPr>
        <w:t>签订时间</w:t>
      </w:r>
      <w:r>
        <w:rPr>
          <w:rFonts w:hint="eastAsia" w:ascii="宋体" w:hAnsi="宋体" w:cs="宋体"/>
          <w:sz w:val="24"/>
          <w:u w:val="single"/>
        </w:rPr>
        <w:t>：</w:t>
      </w:r>
    </w:p>
    <w:p>
      <w:pPr>
        <w:spacing w:line="500" w:lineRule="exact"/>
        <w:rPr>
          <w:rFonts w:ascii="宋体" w:hAnsi="宋体" w:cs="宋体"/>
          <w:sz w:val="24"/>
        </w:rPr>
      </w:pPr>
      <w:r>
        <w:rPr>
          <w:rFonts w:hint="eastAsia" w:ascii="宋体" w:hAnsi="宋体" w:cs="宋体"/>
          <w:sz w:val="24"/>
        </w:rPr>
        <w:t>签订地点</w:t>
      </w:r>
      <w:r>
        <w:rPr>
          <w:rFonts w:hint="eastAsia" w:ascii="宋体" w:hAnsi="宋体" w:cs="宋体"/>
          <w:sz w:val="24"/>
          <w:u w:val="single"/>
        </w:rPr>
        <w:t xml:space="preserve">：                            </w:t>
      </w:r>
    </w:p>
    <w:p>
      <w:pPr>
        <w:spacing w:line="500" w:lineRule="exact"/>
        <w:rPr>
          <w:rFonts w:ascii="宋体" w:hAnsi="宋体" w:cs="宋体"/>
          <w:sz w:val="24"/>
        </w:rPr>
      </w:pPr>
      <w:r>
        <w:rPr>
          <w:rFonts w:hint="eastAsia" w:ascii="宋体" w:hAnsi="宋体" w:cs="宋体"/>
          <w:sz w:val="24"/>
        </w:rPr>
        <w:t>根据《中华人民共和国政府采购法》和《政府采购货物与服务招标投标管理办法》、《合同法》、就</w:t>
      </w:r>
      <w:r>
        <w:rPr>
          <w:rFonts w:hint="eastAsia" w:ascii="宋体" w:hAnsi="宋体" w:cs="宋体"/>
          <w:sz w:val="24"/>
          <w:u w:val="single"/>
        </w:rPr>
        <w:t xml:space="preserve">     （项目名称）</w:t>
      </w:r>
      <w:r>
        <w:rPr>
          <w:rFonts w:hint="eastAsia" w:ascii="宋体" w:hAnsi="宋体" w:cs="宋体"/>
          <w:color w:val="000000"/>
          <w:sz w:val="24"/>
        </w:rPr>
        <w:t>，采购编号：</w:t>
      </w:r>
      <w:r>
        <w:rPr>
          <w:rFonts w:hint="eastAsia" w:ascii="宋体" w:hAnsi="宋体" w:cs="宋体"/>
          <w:color w:val="000000"/>
          <w:sz w:val="24"/>
          <w:u w:val="single"/>
        </w:rPr>
        <w:t xml:space="preserve">       </w:t>
      </w:r>
      <w:r>
        <w:rPr>
          <w:rFonts w:hint="eastAsia" w:ascii="宋体" w:hAnsi="宋体" w:cs="宋体"/>
          <w:sz w:val="24"/>
        </w:rPr>
        <w:t>的招标文件、投标文件、中标通知书的要求，经甲、乙双方协商，本着平等自愿、诚实信用的原则，签订本合同并遵守以下条款：</w:t>
      </w:r>
    </w:p>
    <w:p>
      <w:pPr>
        <w:spacing w:line="500" w:lineRule="exact"/>
        <w:rPr>
          <w:rFonts w:ascii="宋体" w:hAnsi="宋体" w:cs="宋体"/>
          <w:sz w:val="24"/>
        </w:rPr>
      </w:pPr>
      <w:r>
        <w:rPr>
          <w:rFonts w:hint="eastAsia" w:ascii="宋体" w:hAnsi="宋体" w:cs="宋体"/>
          <w:sz w:val="24"/>
        </w:rPr>
        <w:t>一、</w:t>
      </w:r>
      <w:r>
        <w:rPr>
          <w:rFonts w:hint="eastAsia" w:ascii="宋体" w:hAnsi="宋体" w:cs="宋体"/>
          <w:b/>
          <w:sz w:val="24"/>
        </w:rPr>
        <w:t>供货货物的名称、商标、型号、制造厂商、数量、金额、交货时间</w:t>
      </w:r>
    </w:p>
    <w:tbl>
      <w:tblPr>
        <w:tblStyle w:val="20"/>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80"/>
        <w:gridCol w:w="718"/>
        <w:gridCol w:w="1202"/>
        <w:gridCol w:w="720"/>
        <w:gridCol w:w="720"/>
        <w:gridCol w:w="720"/>
        <w:gridCol w:w="900"/>
        <w:gridCol w:w="108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r>
              <w:rPr>
                <w:rFonts w:hint="eastAsia" w:ascii="宋体" w:hAnsi="宋体" w:cs="宋体"/>
                <w:color w:val="000000"/>
                <w:sz w:val="24"/>
              </w:rPr>
              <w:t>货物</w:t>
            </w:r>
          </w:p>
          <w:p>
            <w:pPr>
              <w:spacing w:line="500" w:lineRule="exact"/>
              <w:ind w:right="-161"/>
              <w:rPr>
                <w:rFonts w:ascii="宋体" w:hAnsi="宋体" w:cs="宋体"/>
                <w:color w:val="000000"/>
                <w:sz w:val="24"/>
              </w:rPr>
            </w:pPr>
            <w:r>
              <w:rPr>
                <w:rFonts w:hint="eastAsia" w:ascii="宋体" w:hAnsi="宋体" w:cs="宋体"/>
                <w:color w:val="000000"/>
                <w:sz w:val="24"/>
              </w:rPr>
              <w:t>名称</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r>
              <w:rPr>
                <w:rFonts w:hint="eastAsia" w:ascii="宋体" w:hAnsi="宋体" w:cs="宋体"/>
                <w:color w:val="000000"/>
                <w:sz w:val="24"/>
              </w:rPr>
              <w:t>牌号</w:t>
            </w:r>
          </w:p>
          <w:p>
            <w:pPr>
              <w:spacing w:line="500" w:lineRule="exact"/>
              <w:ind w:right="-161"/>
              <w:rPr>
                <w:rFonts w:ascii="宋体" w:hAnsi="宋体" w:cs="宋体"/>
                <w:color w:val="000000"/>
                <w:sz w:val="24"/>
              </w:rPr>
            </w:pPr>
            <w:r>
              <w:rPr>
                <w:rFonts w:hint="eastAsia" w:ascii="宋体" w:hAnsi="宋体" w:cs="宋体"/>
                <w:color w:val="000000"/>
                <w:sz w:val="24"/>
              </w:rPr>
              <w:t>商标</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r>
              <w:rPr>
                <w:rFonts w:hint="eastAsia" w:ascii="宋体" w:hAnsi="宋体" w:cs="宋体"/>
                <w:color w:val="000000"/>
                <w:sz w:val="24"/>
              </w:rPr>
              <w:t>规格</w:t>
            </w:r>
          </w:p>
          <w:p>
            <w:pPr>
              <w:spacing w:line="500" w:lineRule="exact"/>
              <w:ind w:right="-161"/>
              <w:rPr>
                <w:rFonts w:ascii="宋体" w:hAnsi="宋体" w:cs="宋体"/>
                <w:color w:val="000000"/>
                <w:sz w:val="24"/>
              </w:rPr>
            </w:pPr>
            <w:r>
              <w:rPr>
                <w:rFonts w:hint="eastAsia" w:ascii="宋体" w:hAnsi="宋体" w:cs="宋体"/>
                <w:color w:val="000000"/>
                <w:sz w:val="24"/>
              </w:rPr>
              <w:t>型号</w:t>
            </w:r>
          </w:p>
        </w:tc>
        <w:tc>
          <w:tcPr>
            <w:tcW w:w="12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r>
              <w:rPr>
                <w:rFonts w:hint="eastAsia" w:ascii="宋体" w:hAnsi="宋体" w:cs="宋体"/>
                <w:color w:val="000000"/>
                <w:sz w:val="24"/>
              </w:rPr>
              <w:t>制造厂商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r>
              <w:rPr>
                <w:rFonts w:hint="eastAsia" w:ascii="宋体" w:hAnsi="宋体" w:cs="宋体"/>
                <w:color w:val="000000"/>
                <w:sz w:val="24"/>
              </w:rPr>
              <w:t>计量</w:t>
            </w:r>
          </w:p>
          <w:p>
            <w:pPr>
              <w:spacing w:line="500" w:lineRule="exact"/>
              <w:ind w:right="-161"/>
              <w:rPr>
                <w:rFonts w:ascii="宋体" w:hAnsi="宋体" w:cs="宋体"/>
                <w:color w:val="000000"/>
                <w:sz w:val="24"/>
              </w:rPr>
            </w:pPr>
            <w:r>
              <w:rPr>
                <w:rFonts w:hint="eastAsia" w:ascii="宋体" w:hAnsi="宋体" w:cs="宋体"/>
                <w:color w:val="000000"/>
                <w:sz w:val="24"/>
              </w:rPr>
              <w:t>单位</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r>
              <w:rPr>
                <w:rFonts w:hint="eastAsia" w:ascii="宋体" w:hAnsi="宋体" w:cs="宋体"/>
                <w:color w:val="000000"/>
                <w:sz w:val="24"/>
              </w:rPr>
              <w:t>数量</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r>
              <w:rPr>
                <w:rFonts w:hint="eastAsia" w:ascii="宋体" w:hAnsi="宋体" w:cs="宋体"/>
                <w:color w:val="000000"/>
                <w:sz w:val="24"/>
              </w:rPr>
              <w:t>单价</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r>
              <w:rPr>
                <w:rFonts w:hint="eastAsia" w:ascii="宋体" w:hAnsi="宋体" w:cs="宋体"/>
                <w:color w:val="000000"/>
                <w:sz w:val="24"/>
              </w:rPr>
              <w:t>金额</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r>
              <w:rPr>
                <w:rFonts w:hint="eastAsia" w:ascii="宋体" w:hAnsi="宋体" w:cs="宋体"/>
                <w:color w:val="000000"/>
                <w:sz w:val="24"/>
              </w:rPr>
              <w:t>合计</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r>
              <w:rPr>
                <w:rFonts w:hint="eastAsia" w:ascii="宋体" w:hAnsi="宋体" w:cs="宋体"/>
                <w:color w:val="000000"/>
                <w:sz w:val="24"/>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2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2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2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2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right="-161"/>
              <w:rPr>
                <w:rFonts w:ascii="宋体" w:hAnsi="宋体" w:cs="宋体"/>
                <w:color w:val="000000"/>
                <w:sz w:val="24"/>
              </w:rPr>
            </w:pPr>
            <w:r>
              <w:rPr>
                <w:rFonts w:hint="eastAsia" w:ascii="宋体" w:hAnsi="宋体" w:cs="宋体"/>
                <w:color w:val="000000"/>
                <w:sz w:val="24"/>
              </w:rPr>
              <w:t>合计人民币金额(大写)    仟    佰   拾   万   仟   佰    拾    元整</w:t>
            </w:r>
          </w:p>
        </w:tc>
      </w:tr>
    </w:tbl>
    <w:p>
      <w:pPr>
        <w:spacing w:line="500" w:lineRule="exact"/>
        <w:rPr>
          <w:rFonts w:ascii="宋体" w:hAnsi="宋体" w:cs="宋体"/>
          <w:b/>
          <w:sz w:val="24"/>
        </w:rPr>
      </w:pPr>
      <w:r>
        <w:rPr>
          <w:rFonts w:hint="eastAsia" w:ascii="宋体" w:hAnsi="宋体" w:cs="宋体"/>
          <w:b/>
          <w:sz w:val="24"/>
        </w:rPr>
        <w:t>二、货物产地及标准</w:t>
      </w:r>
    </w:p>
    <w:p>
      <w:pPr>
        <w:spacing w:line="500" w:lineRule="exact"/>
        <w:rPr>
          <w:rFonts w:ascii="宋体" w:hAnsi="宋体" w:cs="宋体"/>
          <w:sz w:val="24"/>
        </w:rPr>
      </w:pPr>
      <w:r>
        <w:rPr>
          <w:rFonts w:hint="eastAsia" w:ascii="宋体" w:hAnsi="宋体" w:cs="宋体"/>
          <w:sz w:val="24"/>
        </w:rPr>
        <w:t>1、货物为</w:t>
      </w:r>
      <w:r>
        <w:rPr>
          <w:rFonts w:hint="eastAsia" w:ascii="宋体" w:hAnsi="宋体" w:cs="宋体"/>
          <w:sz w:val="24"/>
          <w:u w:val="single"/>
        </w:rPr>
        <w:t xml:space="preserve">         (制造商名称) </w:t>
      </w:r>
      <w:r>
        <w:rPr>
          <w:rFonts w:hint="eastAsia" w:ascii="宋体" w:hAnsi="宋体" w:cs="宋体"/>
          <w:sz w:val="24"/>
        </w:rPr>
        <w:t>全新的(原装)货物(含零部件、配件、随机工具等)，表面无划伤、无碰撞，无任何缺陷。</w:t>
      </w:r>
    </w:p>
    <w:p>
      <w:pPr>
        <w:spacing w:line="500" w:lineRule="exact"/>
        <w:rPr>
          <w:rFonts w:ascii="宋体" w:hAnsi="宋体" w:cs="宋体"/>
          <w:sz w:val="24"/>
        </w:rPr>
      </w:pPr>
      <w:r>
        <w:rPr>
          <w:rFonts w:hint="eastAsia" w:ascii="宋体" w:hAnsi="宋体" w:cs="宋体"/>
          <w:sz w:val="24"/>
        </w:rPr>
        <w:t>2、标准</w:t>
      </w:r>
    </w:p>
    <w:p>
      <w:pPr>
        <w:spacing w:line="500" w:lineRule="exact"/>
        <w:rPr>
          <w:rFonts w:ascii="宋体" w:hAnsi="宋体" w:cs="宋体"/>
          <w:sz w:val="24"/>
        </w:rPr>
      </w:pPr>
      <w:r>
        <w:rPr>
          <w:rFonts w:hint="eastAsia" w:ascii="宋体" w:hAnsi="宋体" w:cs="宋体"/>
          <w:sz w:val="24"/>
        </w:rPr>
        <w:t>本合同所指的货物应符合招标文件要求、乙方投标货物所列出的配置、技术参数及各项要求，同时应符合中华人民共和国国家质量及国家安全环保标准。</w:t>
      </w:r>
    </w:p>
    <w:p>
      <w:pPr>
        <w:spacing w:line="500" w:lineRule="exact"/>
        <w:rPr>
          <w:rFonts w:ascii="宋体" w:hAnsi="宋体" w:cs="宋体"/>
          <w:sz w:val="24"/>
        </w:rPr>
      </w:pPr>
      <w:r>
        <w:rPr>
          <w:rFonts w:hint="eastAsia" w:ascii="宋体" w:hAnsi="宋体" w:cs="宋体"/>
          <w:sz w:val="24"/>
        </w:rPr>
        <w:t>3、进口货物必须具备原产地证明和商检部门的检验证明及合法进货渠道证明。</w:t>
      </w:r>
    </w:p>
    <w:p>
      <w:pPr>
        <w:spacing w:line="500" w:lineRule="exact"/>
        <w:rPr>
          <w:rFonts w:ascii="宋体" w:hAnsi="宋体" w:cs="宋体"/>
          <w:sz w:val="24"/>
        </w:rPr>
      </w:pPr>
      <w:r>
        <w:rPr>
          <w:rFonts w:hint="eastAsia" w:ascii="宋体" w:hAnsi="宋体" w:cs="宋体"/>
          <w:sz w:val="24"/>
        </w:rPr>
        <w:t>4、国内制造的货物必须具备出厂合格证。</w:t>
      </w:r>
    </w:p>
    <w:p>
      <w:pPr>
        <w:spacing w:line="500" w:lineRule="exact"/>
        <w:rPr>
          <w:rFonts w:ascii="宋体" w:hAnsi="宋体" w:cs="宋体"/>
          <w:sz w:val="24"/>
        </w:rPr>
      </w:pPr>
      <w:r>
        <w:rPr>
          <w:rFonts w:hint="eastAsia" w:ascii="宋体" w:hAnsi="宋体" w:cs="宋体"/>
          <w:sz w:val="24"/>
        </w:rPr>
        <w:t>5、乙方应将所供货物的用户手册、保修手册、有关资料及配件、备品备件、随机工具等交付给甲方，甲方须知的重要资料应附有中文说明。</w:t>
      </w:r>
    </w:p>
    <w:p>
      <w:pPr>
        <w:spacing w:line="500" w:lineRule="exact"/>
        <w:rPr>
          <w:rFonts w:ascii="宋体" w:hAnsi="宋体" w:cs="宋体"/>
          <w:b/>
          <w:sz w:val="24"/>
        </w:rPr>
      </w:pPr>
      <w:r>
        <w:rPr>
          <w:rFonts w:hint="eastAsia" w:ascii="宋体" w:hAnsi="宋体" w:cs="宋体"/>
          <w:b/>
          <w:sz w:val="24"/>
        </w:rPr>
        <w:t>三、交货方式和交货地点</w:t>
      </w:r>
    </w:p>
    <w:p>
      <w:pPr>
        <w:spacing w:line="500" w:lineRule="exact"/>
        <w:rPr>
          <w:rFonts w:ascii="宋体" w:hAnsi="宋体" w:cs="宋体"/>
          <w:sz w:val="24"/>
        </w:rPr>
      </w:pPr>
      <w:r>
        <w:rPr>
          <w:rFonts w:hint="eastAsia" w:ascii="宋体" w:hAnsi="宋体" w:cs="宋体"/>
          <w:sz w:val="24"/>
        </w:rPr>
        <w:t>货物由乙方送货上门，交货地点为甲方指定的地点。</w:t>
      </w:r>
    </w:p>
    <w:p>
      <w:pPr>
        <w:spacing w:line="500" w:lineRule="exact"/>
        <w:rPr>
          <w:rFonts w:ascii="宋体" w:hAnsi="宋体" w:cs="宋体"/>
          <w:b/>
          <w:sz w:val="24"/>
        </w:rPr>
      </w:pPr>
      <w:r>
        <w:rPr>
          <w:rFonts w:hint="eastAsia" w:ascii="宋体" w:hAnsi="宋体" w:cs="宋体"/>
          <w:b/>
          <w:sz w:val="24"/>
        </w:rPr>
        <w:t>四、包装</w:t>
      </w:r>
    </w:p>
    <w:p>
      <w:pPr>
        <w:spacing w:line="500" w:lineRule="exact"/>
        <w:rPr>
          <w:rFonts w:ascii="宋体" w:hAnsi="宋体" w:cs="宋体"/>
          <w:sz w:val="24"/>
        </w:rPr>
      </w:pPr>
      <w:r>
        <w:rPr>
          <w:rFonts w:hint="eastAsia" w:ascii="宋体" w:hAnsi="宋体" w:cs="宋体"/>
          <w:sz w:val="24"/>
        </w:rPr>
        <w:t>乙方交付的货物应为制造商原厂包装，包装箱号与货物出厂批号一致。</w:t>
      </w:r>
    </w:p>
    <w:p>
      <w:pPr>
        <w:spacing w:line="500" w:lineRule="exact"/>
        <w:rPr>
          <w:rFonts w:ascii="宋体" w:hAnsi="宋体" w:cs="宋体"/>
          <w:b/>
          <w:sz w:val="24"/>
        </w:rPr>
      </w:pPr>
      <w:r>
        <w:rPr>
          <w:rFonts w:hint="eastAsia" w:ascii="宋体" w:hAnsi="宋体" w:cs="宋体"/>
          <w:b/>
          <w:sz w:val="24"/>
        </w:rPr>
        <w:t>五、安装与调试</w:t>
      </w:r>
    </w:p>
    <w:p>
      <w:pPr>
        <w:spacing w:line="500" w:lineRule="exact"/>
        <w:rPr>
          <w:rFonts w:ascii="宋体" w:hAnsi="宋体" w:cs="宋体"/>
          <w:sz w:val="24"/>
        </w:rPr>
      </w:pPr>
      <w:r>
        <w:rPr>
          <w:rFonts w:hint="eastAsia" w:ascii="宋体" w:hAnsi="宋体" w:cs="宋体"/>
          <w:sz w:val="24"/>
        </w:rPr>
        <w:t>乙方须负责将货物的安装并调试至甲方认为的最佳状态，乙方须派专业技术人员到达现场提供技术指导安装及调试，调试所需的水、电、沥青、石料等材料有甲方提供。</w:t>
      </w:r>
    </w:p>
    <w:p>
      <w:pPr>
        <w:spacing w:line="500" w:lineRule="exact"/>
        <w:rPr>
          <w:rFonts w:ascii="宋体" w:hAnsi="宋体" w:cs="宋体"/>
          <w:b/>
          <w:sz w:val="24"/>
        </w:rPr>
      </w:pPr>
      <w:r>
        <w:rPr>
          <w:rFonts w:hint="eastAsia" w:ascii="宋体" w:hAnsi="宋体" w:cs="宋体"/>
          <w:b/>
          <w:sz w:val="24"/>
        </w:rPr>
        <w:t>六、验收方式、质量保证期及售后服务要求</w:t>
      </w:r>
    </w:p>
    <w:p>
      <w:pPr>
        <w:spacing w:line="500" w:lineRule="exact"/>
        <w:rPr>
          <w:rFonts w:ascii="宋体" w:hAnsi="宋体" w:cs="宋体"/>
          <w:sz w:val="24"/>
        </w:rPr>
      </w:pPr>
      <w:r>
        <w:rPr>
          <w:rFonts w:hint="eastAsia" w:ascii="宋体" w:hAnsi="宋体" w:cs="宋体"/>
          <w:sz w:val="24"/>
        </w:rPr>
        <w:t>1、甲乙双方以乙方所投货物的技术参数、配置为标准进行验收，验收合格后由甲方签署验收证明文件。</w:t>
      </w:r>
    </w:p>
    <w:p>
      <w:pPr>
        <w:spacing w:line="500" w:lineRule="exact"/>
        <w:rPr>
          <w:rFonts w:ascii="宋体" w:hAnsi="宋体" w:cs="宋体"/>
          <w:sz w:val="24"/>
        </w:rPr>
      </w:pPr>
      <w:r>
        <w:rPr>
          <w:rFonts w:hint="eastAsia" w:ascii="宋体" w:hAnsi="宋体" w:cs="宋体"/>
          <w:sz w:val="24"/>
        </w:rPr>
        <w:t>2、货物质量保证期和免费维修期以乙方在投标文件中的承诺为准。质量保证期和免费维修期内，乙方对所供货的包修、包换、包退。</w:t>
      </w:r>
    </w:p>
    <w:p>
      <w:pPr>
        <w:spacing w:line="500" w:lineRule="exact"/>
        <w:rPr>
          <w:rFonts w:ascii="宋体" w:hAnsi="宋体" w:cs="宋体"/>
          <w:sz w:val="24"/>
        </w:rPr>
      </w:pPr>
      <w:r>
        <w:rPr>
          <w:rFonts w:hint="eastAsia" w:ascii="宋体" w:hAnsi="宋体" w:cs="宋体"/>
          <w:sz w:val="24"/>
        </w:rPr>
        <w:t>3、 质量保证期生效时间的起点为，由采购人、财政、纪检等进行三方联合验收，由具有法定资质的第三方质量监督检验机构抽检，并出具验收单、检验收手续之日。质量保证期内，整机或零部件非人为因素不能使用而更换部分的质量保证期和免费维修期相应延长。</w:t>
      </w:r>
    </w:p>
    <w:p>
      <w:pPr>
        <w:spacing w:line="500" w:lineRule="exact"/>
        <w:rPr>
          <w:rFonts w:ascii="宋体" w:hAnsi="宋体" w:cs="宋体"/>
          <w:sz w:val="24"/>
        </w:rPr>
      </w:pPr>
      <w:r>
        <w:rPr>
          <w:rFonts w:hint="eastAsia" w:ascii="宋体" w:hAnsi="宋体" w:cs="宋体"/>
          <w:sz w:val="24"/>
        </w:rPr>
        <w:t>4、乙方负责向甲方提供现场操作及维修保养方面的培训。</w:t>
      </w:r>
    </w:p>
    <w:p>
      <w:pPr>
        <w:spacing w:line="500" w:lineRule="exact"/>
        <w:rPr>
          <w:rFonts w:ascii="宋体" w:hAnsi="宋体" w:cs="宋体"/>
          <w:b/>
          <w:sz w:val="24"/>
        </w:rPr>
      </w:pPr>
      <w:r>
        <w:rPr>
          <w:rFonts w:hint="eastAsia" w:ascii="宋体" w:hAnsi="宋体" w:cs="宋体"/>
          <w:b/>
          <w:sz w:val="24"/>
        </w:rPr>
        <w:t xml:space="preserve">七、付款方式：  </w:t>
      </w:r>
    </w:p>
    <w:p>
      <w:pPr>
        <w:spacing w:line="500" w:lineRule="exact"/>
        <w:rPr>
          <w:rFonts w:ascii="宋体" w:hAnsi="宋体" w:cs="宋体"/>
          <w:b/>
          <w:sz w:val="24"/>
        </w:rPr>
      </w:pPr>
      <w:r>
        <w:rPr>
          <w:rFonts w:hint="eastAsia" w:ascii="宋体" w:hAnsi="宋体" w:cs="宋体"/>
          <w:b/>
          <w:sz w:val="24"/>
        </w:rPr>
        <w:t>八、履约保证金：</w:t>
      </w:r>
    </w:p>
    <w:p>
      <w:pPr>
        <w:spacing w:line="500" w:lineRule="exact"/>
        <w:rPr>
          <w:rFonts w:ascii="宋体" w:hAnsi="宋体" w:cs="宋体"/>
          <w:b/>
          <w:sz w:val="24"/>
        </w:rPr>
      </w:pPr>
      <w:r>
        <w:rPr>
          <w:rFonts w:hint="eastAsia" w:ascii="宋体" w:hAnsi="宋体" w:cs="宋体"/>
          <w:b/>
          <w:sz w:val="24"/>
        </w:rPr>
        <w:t>九、违约责任</w:t>
      </w:r>
    </w:p>
    <w:p>
      <w:pPr>
        <w:spacing w:line="500" w:lineRule="exact"/>
        <w:rPr>
          <w:rFonts w:ascii="宋体" w:hAnsi="宋体" w:cs="宋体"/>
          <w:sz w:val="24"/>
        </w:rPr>
      </w:pPr>
      <w:r>
        <w:rPr>
          <w:rFonts w:hint="eastAsia" w:ascii="宋体" w:hAnsi="宋体" w:cs="宋体"/>
          <w:sz w:val="24"/>
        </w:rPr>
        <w:t>1、乙方不能按本合同规定的交货时间交付货物，或在合同规定的交货时间内乙方交付的货物（包括安装、调试）达不到验收标准的，乙方须向甲方支付本合同总价5%的违约金。</w:t>
      </w:r>
    </w:p>
    <w:p>
      <w:pPr>
        <w:spacing w:line="500" w:lineRule="exact"/>
        <w:rPr>
          <w:rFonts w:ascii="宋体" w:hAnsi="宋体" w:cs="宋体"/>
          <w:sz w:val="24"/>
        </w:rPr>
      </w:pPr>
      <w:r>
        <w:rPr>
          <w:rFonts w:hint="eastAsia" w:ascii="宋体" w:hAnsi="宋体" w:cs="宋体"/>
          <w:sz w:val="24"/>
        </w:rPr>
        <w:t>2、乙方不能按本合同规定的交货时间交付货物，或在合同规定的交货时间内乙方交付的货物（包括安装、调试）达不到验收标准的，除乙方按照第九款第1条交纳违约金外，从逾期之日起乙方需另外每日按本合同总价2‰的数额向甲方支付违约金；逾期十天以上的，甲方有权终止合同，由此给甲方造成的经济损失由乙方承担。</w:t>
      </w:r>
    </w:p>
    <w:p>
      <w:pPr>
        <w:spacing w:line="500" w:lineRule="exact"/>
        <w:rPr>
          <w:rFonts w:ascii="宋体" w:hAnsi="宋体" w:cs="宋体"/>
          <w:sz w:val="24"/>
        </w:rPr>
      </w:pPr>
      <w:r>
        <w:rPr>
          <w:rFonts w:hint="eastAsia" w:ascii="宋体" w:hAnsi="宋体" w:cs="宋体"/>
          <w:sz w:val="24"/>
        </w:rPr>
        <w:t>3、乙方不按其售后服务承诺响应甲方的服务请求的，乙方须向甲方支付合同总价2%的违约金。</w:t>
      </w:r>
    </w:p>
    <w:p>
      <w:pPr>
        <w:spacing w:line="500" w:lineRule="exact"/>
        <w:rPr>
          <w:rFonts w:ascii="宋体" w:hAnsi="宋体" w:cs="宋体"/>
          <w:sz w:val="24"/>
        </w:rPr>
      </w:pPr>
      <w:r>
        <w:rPr>
          <w:rFonts w:hint="eastAsia" w:ascii="宋体" w:hAnsi="宋体" w:cs="宋体"/>
          <w:sz w:val="24"/>
        </w:rPr>
        <w:t>4、甲方不按合同规定接收货物，或无正当理由不按政府采购中心的要求办理结算手续的，甲方须向乙方支付本合同总价2%的违约金，同时乙方可向平顶山市采购管理部门投诉。</w:t>
      </w:r>
    </w:p>
    <w:p>
      <w:pPr>
        <w:spacing w:line="500" w:lineRule="exact"/>
        <w:rPr>
          <w:rFonts w:ascii="宋体" w:hAnsi="宋体" w:cs="宋体"/>
          <w:b/>
          <w:sz w:val="24"/>
        </w:rPr>
      </w:pPr>
      <w:r>
        <w:rPr>
          <w:rFonts w:hint="eastAsia" w:ascii="宋体" w:hAnsi="宋体" w:cs="宋体"/>
          <w:b/>
          <w:sz w:val="24"/>
        </w:rPr>
        <w:t>十、提出异议的时间和方法</w:t>
      </w:r>
    </w:p>
    <w:p>
      <w:pPr>
        <w:spacing w:line="500" w:lineRule="exact"/>
        <w:rPr>
          <w:rFonts w:ascii="宋体" w:hAnsi="宋体" w:cs="宋体"/>
          <w:sz w:val="24"/>
        </w:rPr>
      </w:pPr>
      <w:r>
        <w:rPr>
          <w:rFonts w:hint="eastAsia" w:ascii="宋体" w:hAnsi="宋体" w:cs="宋体"/>
          <w:sz w:val="24"/>
        </w:rPr>
        <w:t>1、甲方在验收中如发现货物的品种、型号、规格、质量不符合约定的，应在妥善保管货物的同时，自收货物起3天内向乙方提出书面异议。</w:t>
      </w:r>
    </w:p>
    <w:p>
      <w:pPr>
        <w:spacing w:line="500" w:lineRule="exact"/>
        <w:rPr>
          <w:rFonts w:ascii="宋体" w:hAnsi="宋体" w:cs="宋体"/>
          <w:sz w:val="24"/>
        </w:rPr>
      </w:pPr>
      <w:r>
        <w:rPr>
          <w:rFonts w:hint="eastAsia" w:ascii="宋体" w:hAnsi="宋体" w:cs="宋体"/>
          <w:sz w:val="24"/>
        </w:rPr>
        <w:t>2、乙方在接到甲方书面异议后，应在24小时内作出处理并予以书面说明；否则，即视为乙方默认了甲方提出的异议。</w:t>
      </w:r>
    </w:p>
    <w:p>
      <w:pPr>
        <w:spacing w:line="500" w:lineRule="exact"/>
        <w:rPr>
          <w:rFonts w:ascii="宋体" w:hAnsi="宋体" w:cs="宋体"/>
          <w:sz w:val="24"/>
        </w:rPr>
      </w:pPr>
      <w:r>
        <w:rPr>
          <w:rFonts w:hint="eastAsia" w:ascii="宋体" w:hAnsi="宋体" w:cs="宋体"/>
          <w:sz w:val="24"/>
        </w:rPr>
        <w:t>3、甲方因违章操作、保管保养不善等自身因素造成质量问题的，不得提出异议。</w:t>
      </w:r>
    </w:p>
    <w:p>
      <w:pPr>
        <w:spacing w:line="500" w:lineRule="exact"/>
        <w:rPr>
          <w:rFonts w:ascii="宋体" w:hAnsi="宋体" w:cs="宋体"/>
          <w:b/>
          <w:sz w:val="24"/>
        </w:rPr>
      </w:pPr>
      <w:r>
        <w:rPr>
          <w:rFonts w:hint="eastAsia" w:ascii="宋体" w:hAnsi="宋体" w:cs="宋体"/>
          <w:b/>
          <w:sz w:val="24"/>
        </w:rPr>
        <w:t>十一、不可抗力</w:t>
      </w:r>
    </w:p>
    <w:p>
      <w:pPr>
        <w:spacing w:line="500" w:lineRule="exact"/>
        <w:rPr>
          <w:rFonts w:ascii="宋体" w:hAnsi="宋体" w:cs="宋体"/>
          <w:sz w:val="24"/>
        </w:rPr>
      </w:pPr>
      <w:r>
        <w:rPr>
          <w:rFonts w:hint="eastAsia" w:ascii="宋体" w:hAnsi="宋体" w:cs="宋体"/>
          <w:sz w:val="24"/>
        </w:rPr>
        <w:t>任何一方由于不可抗力原因无法履行合同时，应在不可抗力事件结束后1天内向对方通报，以减轻可能给对方造成的损失；在取得有关机构的不可抗力证明或双方谅解确认后，允许延期履行或修订合同，并视情况免于承担部分或全部的违约责任。</w:t>
      </w:r>
    </w:p>
    <w:p>
      <w:pPr>
        <w:spacing w:line="500" w:lineRule="exact"/>
        <w:rPr>
          <w:rFonts w:ascii="宋体" w:hAnsi="宋体" w:cs="宋体"/>
          <w:b/>
          <w:sz w:val="24"/>
        </w:rPr>
      </w:pPr>
      <w:r>
        <w:rPr>
          <w:rFonts w:hint="eastAsia" w:ascii="宋体" w:hAnsi="宋体" w:cs="宋体"/>
          <w:b/>
          <w:sz w:val="24"/>
        </w:rPr>
        <w:t>十二、争议的解决</w:t>
      </w:r>
    </w:p>
    <w:p>
      <w:pPr>
        <w:spacing w:line="500" w:lineRule="exact"/>
        <w:rPr>
          <w:rFonts w:ascii="宋体" w:hAnsi="宋体" w:cs="宋体"/>
          <w:sz w:val="24"/>
        </w:rPr>
      </w:pPr>
      <w:r>
        <w:rPr>
          <w:rFonts w:hint="eastAsia" w:ascii="宋体" w:hAnsi="宋体" w:cs="宋体"/>
          <w:sz w:val="24"/>
        </w:rPr>
        <w:t>1、合同履行过程中发生的任何争议，若双方不能通过友好协商的方式加以解决，可由平顶山市采购管理办公室调解，也可向平顶山市采购监督管理部门投诉，或向当地有管辖权的人民法院提起诉讼。</w:t>
      </w:r>
    </w:p>
    <w:p>
      <w:pPr>
        <w:spacing w:line="500" w:lineRule="exact"/>
        <w:rPr>
          <w:rFonts w:ascii="宋体" w:hAnsi="宋体" w:cs="宋体"/>
          <w:sz w:val="24"/>
        </w:rPr>
      </w:pPr>
      <w:r>
        <w:rPr>
          <w:rFonts w:hint="eastAsia" w:ascii="宋体" w:hAnsi="宋体" w:cs="宋体"/>
          <w:sz w:val="24"/>
        </w:rPr>
        <w:t>2、因货物质量问题发生的争议，统一由平顶山市质量技术监督局鉴定，其鉴定为最终鉴定。货物符合质量技术标准的，鉴定费由甲方承担；货物不符合质量技术标准的，鉴定费由乙方承担。</w:t>
      </w:r>
    </w:p>
    <w:p>
      <w:pPr>
        <w:spacing w:line="500" w:lineRule="exact"/>
        <w:rPr>
          <w:rFonts w:ascii="宋体" w:hAnsi="宋体" w:cs="宋体"/>
          <w:b/>
          <w:sz w:val="24"/>
        </w:rPr>
      </w:pPr>
      <w:r>
        <w:rPr>
          <w:rFonts w:hint="eastAsia" w:ascii="宋体" w:hAnsi="宋体" w:cs="宋体"/>
          <w:b/>
          <w:sz w:val="24"/>
        </w:rPr>
        <w:t>十三、其它</w:t>
      </w:r>
    </w:p>
    <w:p>
      <w:pPr>
        <w:spacing w:line="500" w:lineRule="exact"/>
        <w:rPr>
          <w:rFonts w:ascii="宋体" w:hAnsi="宋体" w:cs="宋体"/>
          <w:sz w:val="24"/>
        </w:rPr>
      </w:pPr>
      <w:r>
        <w:rPr>
          <w:rFonts w:hint="eastAsia" w:ascii="宋体" w:hAnsi="宋体" w:cs="宋体"/>
          <w:sz w:val="24"/>
        </w:rPr>
        <w:t>1、合同所有附件均为合同的有效组成部分，与合同具有同等的法律效力。</w:t>
      </w:r>
    </w:p>
    <w:p>
      <w:pPr>
        <w:spacing w:line="500" w:lineRule="exact"/>
        <w:rPr>
          <w:rFonts w:ascii="宋体" w:hAnsi="宋体" w:cs="宋体"/>
          <w:sz w:val="24"/>
        </w:rPr>
      </w:pPr>
      <w:r>
        <w:rPr>
          <w:rFonts w:hint="eastAsia" w:ascii="宋体" w:hAnsi="宋体" w:cs="宋体"/>
          <w:sz w:val="24"/>
        </w:rPr>
        <w:t>2、本合同经甲乙双方法人代表或授权代理人签字盖章后生效。</w:t>
      </w:r>
    </w:p>
    <w:p>
      <w:pPr>
        <w:spacing w:line="500" w:lineRule="exact"/>
        <w:rPr>
          <w:rFonts w:ascii="宋体" w:hAnsi="宋体" w:cs="宋体"/>
          <w:sz w:val="24"/>
        </w:rPr>
      </w:pPr>
      <w:r>
        <w:rPr>
          <w:rFonts w:hint="eastAsia" w:ascii="宋体" w:hAnsi="宋体" w:cs="宋体"/>
          <w:sz w:val="24"/>
        </w:rPr>
        <w:t>3、本合同一式陆份：甲方持有伍份，乙方持有一份。</w:t>
      </w:r>
    </w:p>
    <w:p>
      <w:pPr>
        <w:spacing w:line="500" w:lineRule="exact"/>
        <w:rPr>
          <w:rFonts w:ascii="宋体" w:hAnsi="宋体" w:cs="宋体"/>
          <w:sz w:val="24"/>
        </w:rPr>
      </w:pPr>
      <w:r>
        <w:rPr>
          <w:rFonts w:hint="eastAsia" w:ascii="宋体" w:hAnsi="宋体" w:cs="宋体"/>
          <w:sz w:val="24"/>
        </w:rPr>
        <w:t>甲方：(公章)                   乙方：(公章)</w:t>
      </w:r>
    </w:p>
    <w:p>
      <w:pPr>
        <w:spacing w:line="500" w:lineRule="exact"/>
        <w:rPr>
          <w:rFonts w:ascii="宋体" w:hAnsi="宋体" w:cs="宋体"/>
          <w:sz w:val="24"/>
        </w:rPr>
      </w:pPr>
      <w:r>
        <w:rPr>
          <w:rFonts w:hint="eastAsia" w:ascii="宋体" w:hAnsi="宋体" w:cs="宋体"/>
          <w:sz w:val="24"/>
        </w:rPr>
        <w:t>法定代表人(授权代表)：         法定代表人(授权代表)：</w:t>
      </w:r>
    </w:p>
    <w:p>
      <w:pPr>
        <w:spacing w:line="500" w:lineRule="exact"/>
        <w:rPr>
          <w:rFonts w:ascii="宋体" w:hAnsi="宋体" w:cs="宋体"/>
          <w:sz w:val="24"/>
        </w:rPr>
      </w:pPr>
      <w:r>
        <w:rPr>
          <w:rFonts w:hint="eastAsia" w:ascii="宋体" w:hAnsi="宋体" w:cs="宋体"/>
          <w:sz w:val="24"/>
        </w:rPr>
        <w:t>地址：                         地址：</w:t>
      </w:r>
    </w:p>
    <w:p>
      <w:pPr>
        <w:spacing w:line="500" w:lineRule="exact"/>
        <w:rPr>
          <w:rFonts w:ascii="宋体" w:hAnsi="宋体" w:cs="宋体"/>
          <w:sz w:val="24"/>
        </w:rPr>
      </w:pPr>
      <w:r>
        <w:rPr>
          <w:rFonts w:hint="eastAsia" w:ascii="宋体" w:hAnsi="宋体" w:cs="宋体"/>
          <w:sz w:val="24"/>
        </w:rPr>
        <w:t>电话：                         电话：</w:t>
      </w:r>
    </w:p>
    <w:p>
      <w:pPr>
        <w:spacing w:line="500" w:lineRule="exact"/>
        <w:rPr>
          <w:rFonts w:ascii="宋体" w:hAnsi="宋体" w:cs="宋体"/>
          <w:sz w:val="24"/>
        </w:rPr>
      </w:pPr>
      <w:r>
        <w:rPr>
          <w:rFonts w:hint="eastAsia" w:ascii="宋体" w:hAnsi="宋体" w:cs="宋体"/>
          <w:sz w:val="24"/>
        </w:rPr>
        <w:t>传真：                         传真：</w:t>
      </w: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3"/>
        <w:numPr>
          <w:ilvl w:val="0"/>
          <w:numId w:val="1"/>
        </w:numPr>
        <w:spacing w:before="100" w:after="100" w:line="440" w:lineRule="exact"/>
        <w:jc w:val="center"/>
        <w:rPr>
          <w:rFonts w:ascii="宋体" w:hAnsi="宋体" w:cs="Arial"/>
          <w:sz w:val="36"/>
          <w:szCs w:val="36"/>
        </w:rPr>
      </w:pPr>
      <w:bookmarkStart w:id="116" w:name="_Toc354341641"/>
      <w:bookmarkStart w:id="117" w:name="_Toc22134"/>
      <w:bookmarkStart w:id="118" w:name="_Toc14270_WPSOffice_Level1"/>
      <w:r>
        <w:rPr>
          <w:rFonts w:hint="eastAsia" w:ascii="宋体" w:hAnsi="宋体" w:cs="Arial"/>
          <w:sz w:val="36"/>
          <w:szCs w:val="36"/>
        </w:rPr>
        <w:t>技术标准</w:t>
      </w:r>
      <w:bookmarkEnd w:id="116"/>
      <w:r>
        <w:rPr>
          <w:rFonts w:hint="eastAsia" w:ascii="宋体" w:hAnsi="宋体" w:cs="Arial"/>
          <w:sz w:val="36"/>
          <w:szCs w:val="36"/>
        </w:rPr>
        <w:t>要求</w:t>
      </w:r>
      <w:bookmarkEnd w:id="117"/>
      <w:bookmarkEnd w:id="118"/>
    </w:p>
    <w:p/>
    <w:tbl>
      <w:tblPr>
        <w:tblStyle w:val="20"/>
        <w:tblW w:w="0" w:type="auto"/>
        <w:jc w:val="center"/>
        <w:tblLayout w:type="fixed"/>
        <w:tblCellMar>
          <w:top w:w="0" w:type="dxa"/>
          <w:left w:w="108" w:type="dxa"/>
          <w:bottom w:w="0" w:type="dxa"/>
          <w:right w:w="108" w:type="dxa"/>
        </w:tblCellMar>
      </w:tblPr>
      <w:tblGrid>
        <w:gridCol w:w="2238"/>
        <w:gridCol w:w="2406"/>
        <w:gridCol w:w="851"/>
        <w:gridCol w:w="851"/>
        <w:gridCol w:w="851"/>
        <w:gridCol w:w="1558"/>
      </w:tblGrid>
      <w:tr>
        <w:tblPrEx>
          <w:tblCellMar>
            <w:top w:w="0" w:type="dxa"/>
            <w:left w:w="108" w:type="dxa"/>
            <w:bottom w:w="0" w:type="dxa"/>
            <w:right w:w="108" w:type="dxa"/>
          </w:tblCellMar>
        </w:tblPrEx>
        <w:trPr>
          <w:trHeight w:val="495" w:hRule="atLeast"/>
          <w:jc w:val="center"/>
        </w:trPr>
        <w:tc>
          <w:tcPr>
            <w:tcW w:w="8755" w:type="dxa"/>
            <w:gridSpan w:val="6"/>
            <w:tcBorders>
              <w:top w:val="nil"/>
              <w:left w:val="nil"/>
              <w:bottom w:val="nil"/>
              <w:right w:val="nil"/>
            </w:tcBorders>
            <w:noWrap/>
            <w:vAlign w:val="center"/>
          </w:tcPr>
          <w:p>
            <w:pPr>
              <w:rPr>
                <w:rFonts w:hint="eastAsia"/>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4644" w:type="dxa"/>
            <w:gridSpan w:val="2"/>
            <w:tcBorders>
              <w:top w:val="nil"/>
              <w:left w:val="nil"/>
              <w:bottom w:val="nil"/>
              <w:right w:val="nil"/>
            </w:tcBorders>
            <w:noWrap/>
            <w:vAlign w:val="center"/>
          </w:tcPr>
          <w:p>
            <w:pPr>
              <w:rPr>
                <w:color w:val="000000" w:themeColor="text1"/>
                <w14:textFill>
                  <w14:solidFill>
                    <w14:schemeClr w14:val="tx1"/>
                  </w14:solidFill>
                </w14:textFill>
              </w:rPr>
            </w:pPr>
          </w:p>
        </w:tc>
        <w:tc>
          <w:tcPr>
            <w:tcW w:w="851" w:type="dxa"/>
            <w:tcBorders>
              <w:top w:val="nil"/>
              <w:left w:val="nil"/>
              <w:bottom w:val="nil"/>
              <w:right w:val="nil"/>
            </w:tcBorders>
            <w:noWrap/>
            <w:vAlign w:val="center"/>
          </w:tcPr>
          <w:p>
            <w:pPr>
              <w:rPr>
                <w:color w:val="000000" w:themeColor="text1"/>
                <w14:textFill>
                  <w14:solidFill>
                    <w14:schemeClr w14:val="tx1"/>
                  </w14:solidFill>
                </w14:textFill>
              </w:rPr>
            </w:pPr>
          </w:p>
        </w:tc>
        <w:tc>
          <w:tcPr>
            <w:tcW w:w="851" w:type="dxa"/>
            <w:tcBorders>
              <w:top w:val="nil"/>
              <w:left w:val="nil"/>
              <w:bottom w:val="nil"/>
              <w:right w:val="nil"/>
            </w:tcBorders>
            <w:noWrap/>
            <w:vAlign w:val="center"/>
          </w:tcPr>
          <w:p>
            <w:pPr>
              <w:rPr>
                <w:color w:val="000000" w:themeColor="text1"/>
                <w14:textFill>
                  <w14:solidFill>
                    <w14:schemeClr w14:val="tx1"/>
                  </w14:solidFill>
                </w14:textFill>
              </w:rPr>
            </w:pPr>
          </w:p>
        </w:tc>
        <w:tc>
          <w:tcPr>
            <w:tcW w:w="2409" w:type="dxa"/>
            <w:gridSpan w:val="2"/>
            <w:tcBorders>
              <w:top w:val="nil"/>
              <w:left w:val="nil"/>
              <w:bottom w:val="nil"/>
              <w:right w:val="nil"/>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单位：万元</w:t>
            </w:r>
          </w:p>
        </w:tc>
      </w:tr>
      <w:tr>
        <w:tblPrEx>
          <w:tblCellMar>
            <w:top w:w="0" w:type="dxa"/>
            <w:left w:w="108" w:type="dxa"/>
            <w:bottom w:w="0" w:type="dxa"/>
            <w:right w:w="108" w:type="dxa"/>
          </w:tblCellMar>
        </w:tblPrEx>
        <w:trPr>
          <w:trHeight w:val="375" w:hRule="atLeast"/>
          <w:jc w:val="center"/>
        </w:trPr>
        <w:tc>
          <w:tcPr>
            <w:tcW w:w="2238"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设备名称／支出项目</w:t>
            </w:r>
          </w:p>
        </w:tc>
        <w:tc>
          <w:tcPr>
            <w:tcW w:w="2406" w:type="dxa"/>
            <w:tcBorders>
              <w:top w:val="single" w:color="auto" w:sz="4" w:space="0"/>
              <w:left w:val="nil"/>
              <w:bottom w:val="nil"/>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型号规格／支出用途概述</w:t>
            </w:r>
          </w:p>
        </w:tc>
        <w:tc>
          <w:tcPr>
            <w:tcW w:w="851" w:type="dxa"/>
            <w:tcBorders>
              <w:top w:val="single" w:color="auto" w:sz="4" w:space="0"/>
              <w:left w:val="nil"/>
              <w:bottom w:val="nil"/>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851" w:type="dxa"/>
            <w:tcBorders>
              <w:top w:val="single" w:color="auto" w:sz="4" w:space="0"/>
              <w:left w:val="nil"/>
              <w:bottom w:val="nil"/>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单价</w:t>
            </w:r>
          </w:p>
        </w:tc>
        <w:tc>
          <w:tcPr>
            <w:tcW w:w="851" w:type="dxa"/>
            <w:tcBorders>
              <w:top w:val="single" w:color="auto" w:sz="4" w:space="0"/>
              <w:left w:val="nil"/>
              <w:bottom w:val="nil"/>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c>
          <w:tcPr>
            <w:tcW w:w="1558" w:type="dxa"/>
            <w:tcBorders>
              <w:top w:val="single" w:color="auto" w:sz="4" w:space="0"/>
              <w:left w:val="nil"/>
              <w:bottom w:val="nil"/>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金额</w:t>
            </w: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水泥细度负压筛析仪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1、筛析测试细度：1mm-0.030mm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2、时间可调范围：0-999S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3、工作负压：4000-6000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4、电源电压：220V 50Hz</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5、噪间：＜75分贝</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水泥标准负压筛</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直径15公分，筛孔0.045mm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水泥标准负压筛</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直径15公分，筛孔0.08mm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电动防水卷材不透水仪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1、电源：220V50HZ</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2、试验压力：0-0.6Mpa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3、可试件数：3件（一组）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4、试件尺寸：150*150mm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5、透水盘内径：φ92mm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6、测试水温：20℃±5</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低温试验箱</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1、内部尺寸:78cm×43cm×48cm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3、仪器容积：160L</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4、控温范围：0℃―-50℃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5、控温精度：±2℃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6、电 源：AC220V、50HZ</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7、功 率: 550W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8、环境温度：0－23℃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9、相对湿度：≤75%</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低温柔度试验仪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1、电源：220V 输入功率 90W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2、测试速率：360±40m/min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3、测试温度：－40 ~50℃ （任意可调）</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4、试件数量：5件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5、试件尺寸：150×25mm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6、时间设置：0－99分59秒 （可调）</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7、弯曲轴尺寸：φ20 φ30 φ50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混凝土拌合物维勃稠度仪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 震动频率50±3Hz</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电机0.25千瓦380V</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空载振幅0.5±0.1mm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4重量：≈45kg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水泥比长仪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1、千分表最小刻度值：0.001mm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2、千分表最大量程：3mm；电子千分表7mm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3、测量范围：158mm—161mm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砼比长仪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千分表 最小刻度值：0.001mm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千分表最大量程： 3mm电子千分表7mm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测量范围： 千分表：354mm-357mm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测头平面直径：6.5mm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标准杆基长：354mm;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测厚规</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测量范围0-10mm,精度：0.01mm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钢直尺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量程：0-300mm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把</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量程：0-500mm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把</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钢卷尺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量程：0-5m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砖石灰爆裂蒸煮箱</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1、最高沸煮温度：100℃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2、容积：100L</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3、时间控制：可调</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4、管状加热功率：4KW／220V</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5、内部尺寸：595*400*400mm1、最高沸煮温度：100℃、外形尺寸：900*500*590mm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石粉含量测定仪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1、搅拌转速自控： 600±60r/min 400±40r/min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2、计时装置： 最大90分钟 分辨率1秒</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3、转速测量误差： ±2r/min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4、搅拌叶轮： Φ75±10mm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5、玻璃瓶容量： 1l</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6、自控功能： 可选择亚甲蓝MB测定法或亚甲蓝快速试验法</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防水卷材耐热性试验仪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本仪器由夹子，划线器，插销等组成。</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普通玻璃温度计</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棒式0-300℃</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量筒</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10ml</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分度吸量管</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2ml</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量水器</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(170-225)ml</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试模</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40*40*160mm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100*100*100mm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175*185*150mm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70.7*70.7*70.7mm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砖夹具</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抗折试验夹具</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防水卷材</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试验裁刀一套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哑铃型6mm；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哑铃型10；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直角撕裂10mm；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温湿度表</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根据温湿度计生产和使用的实际情况，确定温度.</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最大允许误差为：± 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湿度示值误差定为：±5%RH（40%RH～70%RH，20℃）、± 7%RH（40%RH以下或70%RH以上，20℃）。</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箱式电阻炉</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电源电压 （V）：220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额定温度（℃）：1000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相数：单</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额定功率 （KW）：2.5</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工作室尺寸 （cm）：30×20×12</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震击式标准振摆仪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筛子直径： 300mm / 200mm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震幅； 8mm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振击次数： 147次/分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筛摇动次数：221次/分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回转半径： 12.5mm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电机功率：0.75KW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电压380V</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数显电子万能试验机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最大试验力  20kN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试验机级别  1级</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负荷测量范围 1%～100%FS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试验力分辨力 1/±200000F.S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 力控速率调节范围 0.005%～5%FS/s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 力控速率控制精度 速率＜0.05%FS时，为±2%设定值以内；</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速率≥0.05%FS时，为±1%设定值以内；</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 变形速率调节范围 0.005～5%FS/s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 变形速率控制精度 速率＜0.05%FS/s时，为±2%设定值以内；</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速率≥0.05%FS/s时，为±1%设定值以内；</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 位移速率调节范围 0.2～600mm/min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 位移速率控制精度 速率＜0.5mm/min时，为±1%设定值以内；</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速率≥0.5mm/min时，为±0.5%设定值以内；</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11 有效试验跨度 410mm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12 横梁移动行程 0～1000mm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13 电源电压 ～220V±10% 50Hz（须可靠接地）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14 机器功率 400w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15 载荷机架尺寸(LWH) 860x460x1750mm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16 机器重量  ≥300kg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主要配置：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载荷机架： 大跨度、高刚性、高稳定性、双空间、流线型门式 1台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驱动系统：   1套</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测控系统： HRJ-Test微电脑测控系统，多通道、多功能、易操控 1套</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测力传感器： 20kN  1支</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砂浆材料保温节能材料专用附具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网格布拉伸/卷材拉伸夹具：60x50mm，1套</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拉伸用上夹具(拉拔头)：40x40x20mm，1套</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钢制拉伸成型框：外形70x70mm 内孔40x40mm，厚6mm；1套</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钢制拉伸垫板：外形70x70mm；内孔43x43mm，厚3mm；1套</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钢制下拉伸夹具：U型，开口长92mm，宽75mm；1套</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球铰活动连接；1套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压缩附具： 立方体抗压强度附具，120x120mm球面自平 1套</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*投标单位出具生产厂家针对本项目的专项授权书、售后服务承诺书、本机型计量器具制造许可证。</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压力试验机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主要用于水泥试块抗压强度的测定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由电脑全自动控制试验过程和显示、记录、储存，打印试验结果。产品符合</w:t>
            </w:r>
            <w:r>
              <w:rPr>
                <w:color w:val="000000" w:themeColor="text1"/>
                <w14:textFill>
                  <w14:solidFill>
                    <w14:schemeClr w14:val="tx1"/>
                  </w14:solidFill>
                </w14:textFill>
              </w:rPr>
              <w:t>GB/T17671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GB/T3159</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GB/T2611</w:t>
            </w:r>
            <w:r>
              <w:rPr>
                <w:rFonts w:hint="eastAsia"/>
                <w:color w:val="000000" w:themeColor="text1"/>
                <w14:textFill>
                  <w14:solidFill>
                    <w14:schemeClr w14:val="tx1"/>
                  </w14:solidFill>
                </w14:textFill>
              </w:rPr>
              <w:t>标准要求。</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、最大试验力：</w:t>
            </w:r>
            <w:r>
              <w:rPr>
                <w:color w:val="000000" w:themeColor="text1"/>
                <w14:textFill>
                  <w14:solidFill>
                    <w14:schemeClr w14:val="tx1"/>
                  </w14:solidFill>
                </w14:textFill>
              </w:rPr>
              <w:t>300kN</w:t>
            </w:r>
            <w:r>
              <w:rPr>
                <w:rFonts w:hint="eastAsia"/>
                <w:color w:val="000000" w:themeColor="text1"/>
                <w14:textFill>
                  <w14:solidFill>
                    <w14:schemeClr w14:val="tx1"/>
                  </w14:solidFill>
                </w14:textFill>
              </w:rPr>
              <w:t>　　　</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、示值精度：</w:t>
            </w:r>
            <w:r>
              <w:rPr>
                <w:color w:val="000000" w:themeColor="text1"/>
                <w14:textFill>
                  <w14:solidFill>
                    <w14:schemeClr w14:val="tx1"/>
                  </w14:solidFill>
                </w14:textFill>
              </w:rPr>
              <w:t>±1%</w:t>
            </w:r>
            <w:r>
              <w:rPr>
                <w:color w:val="000000" w:themeColor="text1"/>
                <w14:textFill>
                  <w14:solidFill>
                    <w14:schemeClr w14:val="tx1"/>
                  </w14:solidFill>
                </w14:textFill>
              </w:rPr>
              <w:br w:type="textWrapping"/>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、加载速率（可自行设定）：</w:t>
            </w:r>
            <w:r>
              <w:rPr>
                <w:color w:val="000000" w:themeColor="text1"/>
                <w14:textFill>
                  <w14:solidFill>
                    <w14:schemeClr w14:val="tx1"/>
                  </w14:solidFill>
                </w14:textFill>
              </w:rPr>
              <w:t>0.3-9.0kN/s</w:t>
            </w:r>
            <w:r>
              <w:rPr>
                <w:color w:val="000000" w:themeColor="text1"/>
                <w14:textFill>
                  <w14:solidFill>
                    <w14:schemeClr w14:val="tx1"/>
                  </w14:solidFill>
                </w14:textFill>
              </w:rPr>
              <w:br w:type="textWrapping"/>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、承压板直径：</w:t>
            </w:r>
            <w:r>
              <w:rPr>
                <w:color w:val="000000" w:themeColor="text1"/>
                <w14:textFill>
                  <w14:solidFill>
                    <w14:schemeClr w14:val="tx1"/>
                  </w14:solidFill>
                </w14:textFill>
              </w:rPr>
              <w:t>150mm</w:t>
            </w:r>
            <w:r>
              <w:rPr>
                <w:color w:val="000000" w:themeColor="text1"/>
                <w14:textFill>
                  <w14:solidFill>
                    <w14:schemeClr w14:val="tx1"/>
                  </w14:solidFill>
                </w14:textFill>
              </w:rPr>
              <w:br w:type="textWrapping"/>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、承压板间距：</w:t>
            </w:r>
            <w:r>
              <w:rPr>
                <w:color w:val="000000" w:themeColor="text1"/>
                <w14:textFill>
                  <w14:solidFill>
                    <w14:schemeClr w14:val="tx1"/>
                  </w14:solidFill>
                </w14:textFill>
              </w:rPr>
              <w:t>280mm</w:t>
            </w:r>
            <w:r>
              <w:rPr>
                <w:color w:val="000000" w:themeColor="text1"/>
                <w14:textFill>
                  <w14:solidFill>
                    <w14:schemeClr w14:val="tx1"/>
                  </w14:solidFill>
                </w14:textFill>
              </w:rPr>
              <w:br w:type="textWrapping"/>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、活塞行程：</w:t>
            </w:r>
            <w:r>
              <w:rPr>
                <w:color w:val="000000" w:themeColor="text1"/>
                <w14:textFill>
                  <w14:solidFill>
                    <w14:schemeClr w14:val="tx1"/>
                  </w14:solidFill>
                </w14:textFill>
              </w:rPr>
              <w:t>120mm</w:t>
            </w:r>
            <w:r>
              <w:rPr>
                <w:color w:val="000000" w:themeColor="text1"/>
                <w14:textFill>
                  <w14:solidFill>
                    <w14:schemeClr w14:val="tx1"/>
                  </w14:solidFill>
                </w14:textFill>
              </w:rPr>
              <w:br w:type="textWrapping"/>
            </w:r>
            <w:r>
              <w:rPr>
                <w:color w:val="000000" w:themeColor="text1"/>
                <w14:textFill>
                  <w14:solidFill>
                    <w14:schemeClr w14:val="tx1"/>
                  </w14:solidFill>
                </w14:textFill>
              </w:rPr>
              <w:t>7</w:t>
            </w:r>
            <w:r>
              <w:rPr>
                <w:rFonts w:hint="eastAsia"/>
                <w:color w:val="000000" w:themeColor="text1"/>
                <w14:textFill>
                  <w14:solidFill>
                    <w14:schemeClr w14:val="tx1"/>
                  </w14:solidFill>
                </w14:textFill>
              </w:rPr>
              <w:t>、电源、功率：</w:t>
            </w:r>
            <w:r>
              <w:rPr>
                <w:color w:val="000000" w:themeColor="text1"/>
                <w14:textFill>
                  <w14:solidFill>
                    <w14:schemeClr w14:val="tx1"/>
                  </w14:solidFill>
                </w14:textFill>
              </w:rPr>
              <w:t>380V</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50Hz</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1KW</w:t>
            </w:r>
            <w:r>
              <w:rPr>
                <w:color w:val="000000" w:themeColor="text1"/>
                <w14:textFill>
                  <w14:solidFill>
                    <w14:schemeClr w14:val="tx1"/>
                  </w14:solidFill>
                </w14:textFill>
              </w:rPr>
              <w:br w:type="textWrapping"/>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、净重：</w:t>
            </w:r>
            <w:r>
              <w:rPr>
                <w:color w:val="000000" w:themeColor="text1"/>
                <w14:textFill>
                  <w14:solidFill>
                    <w14:schemeClr w14:val="tx1"/>
                  </w14:solidFill>
                </w14:textFill>
              </w:rPr>
              <w:t>370kg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压力试验机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主要用于测试混凝土、高强度砖石、耐火砖等建筑材料的抗压强度。液压传动、电子测力及蓝屏液晶显示。手动控制加载，电动升降机调整试验空间。产品符合</w:t>
            </w:r>
            <w:r>
              <w:rPr>
                <w:color w:val="000000" w:themeColor="text1"/>
                <w14:textFill>
                  <w14:solidFill>
                    <w14:schemeClr w14:val="tx1"/>
                  </w14:solidFill>
                </w14:textFill>
              </w:rPr>
              <w:t>GB/T50081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GB/T3159</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GB/T2611</w:t>
            </w:r>
            <w:r>
              <w:rPr>
                <w:rFonts w:hint="eastAsia"/>
                <w:color w:val="000000" w:themeColor="text1"/>
                <w14:textFill>
                  <w14:solidFill>
                    <w14:schemeClr w14:val="tx1"/>
                  </w14:solidFill>
                </w14:textFill>
              </w:rPr>
              <w:t>标准要求。</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、最大试验力：</w:t>
            </w:r>
            <w:r>
              <w:rPr>
                <w:color w:val="000000" w:themeColor="text1"/>
                <w14:textFill>
                  <w14:solidFill>
                    <w14:schemeClr w14:val="tx1"/>
                  </w14:solidFill>
                </w14:textFill>
              </w:rPr>
              <w:t xml:space="preserve"> 2000kN  </w:t>
            </w:r>
            <w:r>
              <w:rPr>
                <w:color w:val="000000" w:themeColor="text1"/>
                <w14:textFill>
                  <w14:solidFill>
                    <w14:schemeClr w14:val="tx1"/>
                  </w14:solidFill>
                </w14:textFill>
              </w:rPr>
              <w:br w:type="textWrapping"/>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、示值精度：</w:t>
            </w:r>
            <w:r>
              <w:rPr>
                <w:color w:val="000000" w:themeColor="text1"/>
                <w14:textFill>
                  <w14:solidFill>
                    <w14:schemeClr w14:val="tx1"/>
                  </w14:solidFill>
                </w14:textFill>
              </w:rPr>
              <w:t xml:space="preserve">±1%   </w:t>
            </w:r>
            <w:r>
              <w:rPr>
                <w:color w:val="000000" w:themeColor="text1"/>
                <w14:textFill>
                  <w14:solidFill>
                    <w14:schemeClr w14:val="tx1"/>
                  </w14:solidFill>
                </w14:textFill>
              </w:rPr>
              <w:br w:type="textWrapping"/>
            </w:r>
            <w:r>
              <w:rPr>
                <w:color w:val="000000" w:themeColor="text1"/>
                <w14:textFill>
                  <w14:solidFill>
                    <w14:schemeClr w14:val="tx1"/>
                  </w14:solidFill>
                </w14:textFill>
              </w:rPr>
              <w:t>3</w:t>
            </w:r>
            <w:r>
              <w:rPr>
                <w:rFonts w:hint="eastAsia"/>
                <w:color w:val="000000" w:themeColor="text1"/>
                <w14:textFill>
                  <w14:solidFill>
                    <w14:schemeClr w14:val="tx1"/>
                  </w14:solidFill>
                </w14:textFill>
              </w:rPr>
              <w:t>、量程：</w:t>
            </w:r>
            <w:r>
              <w:rPr>
                <w:color w:val="000000" w:themeColor="text1"/>
                <w14:textFill>
                  <w14:solidFill>
                    <w14:schemeClr w14:val="tx1"/>
                  </w14:solidFill>
                </w14:textFill>
              </w:rPr>
              <w:t xml:space="preserve">1000KN/2000KN  </w:t>
            </w:r>
            <w:r>
              <w:rPr>
                <w:color w:val="000000" w:themeColor="text1"/>
                <w14:textFill>
                  <w14:solidFill>
                    <w14:schemeClr w14:val="tx1"/>
                  </w14:solidFill>
                </w14:textFill>
              </w:rPr>
              <w:br w:type="textWrapping"/>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、承压板间距：</w:t>
            </w:r>
            <w:r>
              <w:rPr>
                <w:color w:val="000000" w:themeColor="text1"/>
                <w14:textFill>
                  <w14:solidFill>
                    <w14:schemeClr w14:val="tx1"/>
                  </w14:solidFill>
                </w14:textFill>
              </w:rPr>
              <w:t xml:space="preserve">320mm </w:t>
            </w:r>
            <w:r>
              <w:rPr>
                <w:color w:val="000000" w:themeColor="text1"/>
                <w14:textFill>
                  <w14:solidFill>
                    <w14:schemeClr w14:val="tx1"/>
                  </w14:solidFill>
                </w14:textFill>
              </w:rPr>
              <w:br w:type="textWrapping"/>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、承压板尺寸：</w:t>
            </w:r>
            <w:r>
              <w:rPr>
                <w:color w:val="000000" w:themeColor="text1"/>
                <w14:textFill>
                  <w14:solidFill>
                    <w14:schemeClr w14:val="tx1"/>
                  </w14:solidFill>
                </w14:textFill>
              </w:rPr>
              <w:t>320×320mm</w:t>
            </w:r>
            <w:r>
              <w:rPr>
                <w:color w:val="000000" w:themeColor="text1"/>
                <w14:textFill>
                  <w14:solidFill>
                    <w14:schemeClr w14:val="tx1"/>
                  </w14:solidFill>
                </w14:textFill>
              </w:rPr>
              <w:br w:type="textWrapping"/>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、活塞行程：</w:t>
            </w:r>
            <w:r>
              <w:rPr>
                <w:color w:val="000000" w:themeColor="text1"/>
                <w14:textFill>
                  <w14:solidFill>
                    <w14:schemeClr w14:val="tx1"/>
                  </w14:solidFill>
                </w14:textFill>
              </w:rPr>
              <w:t>50mm</w:t>
            </w:r>
            <w:r>
              <w:rPr>
                <w:color w:val="000000" w:themeColor="text1"/>
                <w14:textFill>
                  <w14:solidFill>
                    <w14:schemeClr w14:val="tx1"/>
                  </w14:solidFill>
                </w14:textFill>
              </w:rPr>
              <w:br w:type="textWrapping"/>
            </w:r>
            <w:r>
              <w:rPr>
                <w:color w:val="000000" w:themeColor="text1"/>
                <w14:textFill>
                  <w14:solidFill>
                    <w14:schemeClr w14:val="tx1"/>
                  </w14:solidFill>
                </w14:textFill>
              </w:rPr>
              <w:t>7</w:t>
            </w:r>
            <w:r>
              <w:rPr>
                <w:rFonts w:hint="eastAsia"/>
                <w:color w:val="000000" w:themeColor="text1"/>
                <w14:textFill>
                  <w14:solidFill>
                    <w14:schemeClr w14:val="tx1"/>
                  </w14:solidFill>
                </w14:textFill>
              </w:rPr>
              <w:t>、电源、功率：</w:t>
            </w:r>
            <w:r>
              <w:rPr>
                <w:color w:val="000000" w:themeColor="text1"/>
                <w14:textFill>
                  <w14:solidFill>
                    <w14:schemeClr w14:val="tx1"/>
                  </w14:solidFill>
                </w14:textFill>
              </w:rPr>
              <w:t>380V</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50Hz</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2KW </w:t>
            </w:r>
            <w:r>
              <w:rPr>
                <w:color w:val="000000" w:themeColor="text1"/>
                <w14:textFill>
                  <w14:solidFill>
                    <w14:schemeClr w14:val="tx1"/>
                  </w14:solidFill>
                </w14:textFill>
              </w:rPr>
              <w:br w:type="textWrapping"/>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、净重：</w:t>
            </w:r>
            <w:r>
              <w:rPr>
                <w:color w:val="000000" w:themeColor="text1"/>
                <w14:textFill>
                  <w14:solidFill>
                    <w14:schemeClr w14:val="tx1"/>
                  </w14:solidFill>
                </w14:textFill>
              </w:rPr>
              <w:t>1030kg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电液万能试验机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主要技术参数：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最大试验力：100KN；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测量范围：4%-100%F.S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测力示值相对误差（不超过）±1%；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拉伸钳口部最大差距：620mm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扁试样夹持宽度：≤60mm；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扁试样夹持厚度：0-15mm；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圆试样夹持直径：6-20mm；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带肩圆试样夹持直径：10，13mm；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带螺纹试样，螺纹规格：M10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弯曲试验压滚间距离：30-460mm；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剪切试样直径：10mm；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拉伸空间两支柱间距：392mm；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压缩空间两支杆间距：392mm；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活塞行程：150mm；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油泵电动机功率：2.2KW；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主机外形尺寸：760*460*1965mm；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油源柜：605*605*1050mmw</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电液伺服万能试验机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 最大试验力：300KN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立柱间有效距离：260mm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压缩最大间距：350mm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圆试样夹持范围：≦25mm5. 扩展配置螺纹钢试验范围：≦25mm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 扁试样夹持厚度：≦21mm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 上下压板尺寸：φ148mm/20mm/40mm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 活塞移动速度范围：0-200mm/min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9.主体结构形式：油源、控制系统、受力框架一体式结构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10.安装形式：减震结构，无需基础</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11.搬运形式：机身可降至1.9M以下，方便进户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*12.供电方式：单相220V/2kw+1.5kw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13.测力与控制方式：双荷重传感器、电液伺服微电脑控制（含联网电脑）</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*14.空间调整方式：双向油缸调节，双泵源调速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15.油缸行程：350mm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16.试验机示值准确度等级：1级</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17.钳口类型：液压Q型钳口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18.试验力测试量程：1%-100%FS（全程不分档）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19.变形（引伸计）测量范围：1%-100%FS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20.变形示值相对误差：±1%/±0.5%以内</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21.变形分辨力：最大变形量的1/300000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22.试验机加载速率范围：0.02%-2%FS/s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*投标单位出具生产厂家针对本项目的专项授权书、售后服务承诺书、本机型计量器具制造许可证。</w:t>
            </w:r>
          </w:p>
        </w:tc>
        <w:tc>
          <w:tcPr>
            <w:tcW w:w="851" w:type="dxa"/>
            <w:tcBorders>
              <w:top w:val="single" w:color="auto" w:sz="4" w:space="0"/>
              <w:left w:val="nil"/>
              <w:bottom w:val="single" w:color="auto" w:sz="4" w:space="0"/>
              <w:right w:val="single" w:color="auto" w:sz="4" w:space="0"/>
            </w:tcBorders>
            <w:vAlign w:val="center"/>
          </w:tcPr>
          <w:p>
            <w:pP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　</w:t>
            </w:r>
            <w:r>
              <w:rPr>
                <w:rFonts w:hint="eastAsia"/>
                <w:color w:val="000000" w:themeColor="text1"/>
                <w:lang w:eastAsia="zh-CN"/>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　</w:t>
            </w:r>
            <w:r>
              <w:rPr>
                <w:rFonts w:hint="eastAsia"/>
                <w:color w:val="000000" w:themeColor="text1"/>
                <w:lang w:val="en-US" w:eastAsia="zh-CN"/>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智能型比表面积测定仪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1.透气圆筒直径：12.7±0.1mm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穿孔板孔数：35个 孔径：1.0mm板厚：1±0.1mm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3.工作电压：220V 50HZ</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4.测量精度：&lt;1%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 自动化程度：自动监测水位， 自动计时 自动测温 自动计算 自动出结果。</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电热鼓风干燥箱</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1、工作电压：AC220V50Hz</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2、控温范围：RT+10-250℃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3、温度波动：±1℃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4、额定功率：2.4kw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5、容积：136L</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5、工作室尺寸（高×宽×深）：550mm×550mm×450mm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6、外形尺寸（高×宽×深）：765mm×600mm×850mm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7、搁板负荷（KG）:14（标配2块）</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8、最大搁板数量：8个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9、搁板间距：50mm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数显恒温水浴锅</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适用于各种试件的养护，控温范围在常温条件以下使用的仪器，并配置双制冷机，具有制冷速度快、可与针入度连接做各种温度试验。噪音低及恒温精度高等优点。</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1、控温范围：0～80℃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2、电源电压：220V±10%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3、控温精度：±0.1℃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4、水浴尺寸：460×280×240mm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5、加热功率：600W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6、制冷功率：2×150W</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水泥净浆搅拌机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将按标准规定的水泥和水混合后搅拌成均匀的试验用净浆，供测定水泥标准稠度、、凝结时间及制作安定性试块用。产品符合GB/T1346、JC/T729标准要求。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1、搅拌速度（慢:公转62±5r/min,自转140±5r/min,自动控制程序时间120±3s；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快：公转125±10r/min，自转285±10r/min，自动控制程序时间120±3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停 自动控制程序时间 15s）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2、搅拌锅容量：2.5L</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3、电源功率：380V、50Hz、370W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4、净重：45kg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维卡仪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主要用以测定水泥净浆的标准稠度用水量及凝结时间。产品符合GB/T1346、ASTMC187、ISO9597、JC/T727标准要求。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1、滑动部分总重量：300g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2、滑动部分最大行程：70mm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3、净重：3.8kg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雷氏夹</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主要用于灌注水泥净浆，经养护成型及沸煮后，测定试件的安定性能。产品符合GB/T1346、ISO9597、JC/T954标准要求。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1、在300克负荷下两针尖距离的最大膨胀值：≤（17.5±2.5）mm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2、去负荷后要求恢复正常状态：10mm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3、净重：30g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支</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雷氏夹测定仪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主要用于检测雷氏夹质量是否符合要求，也用于测量沸煮前后水泥试件在雷氏夹两指针间距离的增值来判定水泥的安定性。产品符合GB/T1346、ISO9597、JC/T954标准要求。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1、专用砝码质量：300g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2、量值刻度板最小刻距：0.5mm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3、净重：1.65kg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沸煮箱</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对水泥安定性能进行雷氏法、试饼法两种测定，升温与保温均可自动控制。产品符合GB/T1346、JC/T955标准要求。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1、内胆有效容积：31L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2、沸煮保温时间：3h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3、电源、加热功率：220V、50Hz、4KW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4、净重：20kg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水泥胶砂搅拌机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主要用于水泥胶砂试件制备时的搅拌。产品符合GB/T17671、JC/T681、BS3892、ISO679标准要求。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1、搅拌叶宽度：135mm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2、搅拌锅容量：5L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3、搅拌叶转速（低速档:自转140 ±5 r/min,公转62±5r/min；高速档:自转285±10r/min,  公转125±10r/min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4、电源功率：380V、50Hz、550W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5、净重：70kg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水泥胶砂振实台</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主要用于水泥胶砂试件制备时的振实成型。产品符合JC/T682、GB/T17671、BS3892、ISO679标准要求。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1、振实台振幅：15mm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2、振动频率：1HZ</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3、振动次数：60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4、台盘中心至臂杆轴中心距离：800 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5、电源功率：220V 50Hz 70W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6、净重：60kg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恒温恒湿养护箱</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标准恒温恒湿养护箱具有全自动控制功能，双数显表显示温、湿度，超声波加湿，内胆采用进口不锈钢制作。</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1、内胆尺寸：700×550×1100（mm）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2、容 量：软练试模 40套 砼150×150试模 60块</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3、恒温范围：16-40℃可调  精度：20°C±1°C</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4、恒湿范围：≥90%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5、压缩机功率：165W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6、加 热 器： 600W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7、雾 化 器：15W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8、净 重： 150Kg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水泥试件恒温水养护箱</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水泥试件恒温水养护箱根据新标准GB/T17671-1999、ISO679-1989的要求。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1、电源：220V±10%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2、箱内尺寸：520×450×880mm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3、容量：软练试模40×40×160 可放60组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4、恒温水温：20℃±1℃可调</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5、制冷功率：165W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6、加热功率：300W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7、风机：45W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电动抗折试验机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用作水泥或其它非金属脆性材料试块的抗折强度测定。产品符合GB/T17671、JC/T724、BS4550、ISO679标准要求。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1、最大试验力：</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单杠杆时：1000N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双杠杆时：5000N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2、示值精度：±1%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3、单杠杆出力比：10：1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4、双杠杆出力比：50：1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5、加载速率（单杠杆）：（10±1）N/s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6、加载速率（双杠杆）：（50±5）N/s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7、抗折夹具：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（1）加荷辊及支撑辊直径：φ10 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（2）支撑辊距：100±0.1mm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（3）隔板间距：46mm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8、电源、功率：220V 、50Hz、 60w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水泥抗压夹具</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主要用于水泥抗压强度的检验。</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产品符合</w:t>
            </w:r>
            <w:r>
              <w:rPr>
                <w:color w:val="000000" w:themeColor="text1"/>
                <w14:textFill>
                  <w14:solidFill>
                    <w14:schemeClr w14:val="tx1"/>
                  </w14:solidFill>
                </w14:textFill>
              </w:rPr>
              <w:t>JC/T683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GB/T17671</w:t>
            </w:r>
            <w:r>
              <w:rPr>
                <w:rFonts w:hint="eastAsia"/>
                <w:color w:val="000000" w:themeColor="text1"/>
                <w14:textFill>
                  <w14:solidFill>
                    <w14:schemeClr w14:val="tx1"/>
                  </w14:solidFill>
                </w14:textFill>
              </w:rPr>
              <w:t>标准要求。</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、上、下压板长度：</w:t>
            </w:r>
            <w:r>
              <w:rPr>
                <w:color w:val="000000" w:themeColor="text1"/>
                <w14:textFill>
                  <w14:solidFill>
                    <w14:schemeClr w14:val="tx1"/>
                  </w14:solidFill>
                </w14:textFill>
              </w:rPr>
              <w:t>40mm</w:t>
            </w:r>
            <w:r>
              <w:rPr>
                <w:color w:val="000000" w:themeColor="text1"/>
                <w14:textFill>
                  <w14:solidFill>
                    <w14:schemeClr w14:val="tx1"/>
                  </w14:solidFill>
                </w14:textFill>
              </w:rPr>
              <w:br w:type="textWrapping"/>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、上、下压板宽度：</w:t>
            </w:r>
            <w:r>
              <w:rPr>
                <w:color w:val="000000" w:themeColor="text1"/>
                <w14:textFill>
                  <w14:solidFill>
                    <w14:schemeClr w14:val="tx1"/>
                  </w14:solidFill>
                </w14:textFill>
              </w:rPr>
              <w:t>&gt;40mm</w:t>
            </w:r>
            <w:r>
              <w:rPr>
                <w:color w:val="000000" w:themeColor="text1"/>
                <w14:textFill>
                  <w14:solidFill>
                    <w14:schemeClr w14:val="tx1"/>
                  </w14:solidFill>
                </w14:textFill>
              </w:rPr>
              <w:br w:type="textWrapping"/>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、上、下压板自由距离：</w:t>
            </w:r>
            <w:r>
              <w:rPr>
                <w:color w:val="000000" w:themeColor="text1"/>
                <w14:textFill>
                  <w14:solidFill>
                    <w14:schemeClr w14:val="tx1"/>
                  </w14:solidFill>
                </w14:textFill>
              </w:rPr>
              <w:t>&gt;45mm</w:t>
            </w:r>
            <w:r>
              <w:rPr>
                <w:rFonts w:hint="eastAsia"/>
                <w:color w:val="000000" w:themeColor="text1"/>
                <w14:textFill>
                  <w14:solidFill>
                    <w14:schemeClr w14:val="tx1"/>
                  </w14:solidFill>
                </w14:textFill>
              </w:rPr>
              <w:t>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水泥胶砂流动度测定仪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主要用于水泥胶砂流动度试验。产品符合GB/T2419、JC/T757标准要求。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1、振动部分总重量：4.35±0.15kg                                                             2、振动部分落差：10+0.2mm                                                                       3、振动频率：1Hz                                                                                    4、振动次数：25次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5、电源功率：220V 50Hz 30W</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游标卡尺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量程；0-150mm  精度：0.02mm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把</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量程：0-300mm  精度：0.01mm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把</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智能型电液式钢筋弯曲试验机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1.主体结构形式：三油缸、三工位设计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2.控制方式：采用触屏摸智能控制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3.支棍间距调节：标尺指针式电动调节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4.弯曲范围:180°、90°、60°等任意角度弯曲5.供电方式：单相AC220V/0.75KW or 三相AC380V/2.2+0.75KW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6.最大试验力：200KN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7.支棍间距：5-400mm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8.支辊直径：φ80mm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9.最小弯曲钢筋直径：φ6mm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10.最大弯曲钢筋直径：φ50mm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11.最大跨距：450mm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*投标单位出具生产厂家针对本项目的专项授权书、售后服务承诺书、本机型计量器具制造许可证。</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变形测量仪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主要用来测量金属材料和一些非金属材料的某些机械力学性能。可配合万能试验机来测定材料的位移或应变，通过换算可求得材料的弹性模量及屈服强度。</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1、夹持试件最大尺寸:圆柱试件直径0～25mm，板状试件厚度0～25mm。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2、标距尺寸范围:30～80mm,30～120mm,30～250mm。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3、配用量表；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千分表：测量范围：0～1mm 分度值：0.001mm；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4、配用表精度等级：1级；</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砂、石试验筛</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冲框0.075～90mm共17个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针状规准仪、片状规准仪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主要用于混凝土骨料的分级筛选。</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1、片状粒级筛分孔宽：3，5.2，7.2，9，11.3，14.3mm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2、针状粒级筛分间距：18，31.2，43.2，54，67.8，85.8mm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压碎值指标测定仪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主要用于石子等混凝土骨料的压碎值指标测定。</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1、承压桶内径：φ152mm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2、承压桶高度：120mm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3、压头直径：φ150mm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强制式单卧轴混凝土搅拌机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、最大进料容量：</w:t>
            </w:r>
            <w:r>
              <w:rPr>
                <w:color w:val="000000" w:themeColor="text1"/>
                <w14:textFill>
                  <w14:solidFill>
                    <w14:schemeClr w14:val="tx1"/>
                  </w14:solidFill>
                </w14:textFill>
              </w:rPr>
              <w:t>96</w:t>
            </w:r>
            <w:r>
              <w:rPr>
                <w:rFonts w:hint="eastAsia"/>
                <w:color w:val="000000" w:themeColor="text1"/>
                <w14:textFill>
                  <w14:solidFill>
                    <w14:schemeClr w14:val="tx1"/>
                  </w14:solidFill>
                </w14:textFill>
              </w:rPr>
              <w:t>升</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、最大出料容量：</w:t>
            </w:r>
            <w:r>
              <w:rPr>
                <w:color w:val="000000" w:themeColor="text1"/>
                <w14:textFill>
                  <w14:solidFill>
                    <w14:schemeClr w14:val="tx1"/>
                  </w14:solidFill>
                </w14:textFill>
              </w:rPr>
              <w:t>66</w:t>
            </w:r>
            <w:r>
              <w:rPr>
                <w:rFonts w:hint="eastAsia"/>
                <w:color w:val="000000" w:themeColor="text1"/>
                <w14:textFill>
                  <w14:solidFill>
                    <w14:schemeClr w14:val="tx1"/>
                  </w14:solidFill>
                </w14:textFill>
              </w:rPr>
              <w:t>升</w:t>
            </w:r>
            <w:r>
              <w:rPr>
                <w:color w:val="000000" w:themeColor="text1"/>
                <w14:textFill>
                  <w14:solidFill>
                    <w14:schemeClr w14:val="tx1"/>
                  </w14:solidFill>
                </w14:textFill>
              </w:rPr>
              <w:t xml:space="preserve">   </w:t>
            </w:r>
            <w:r>
              <w:rPr>
                <w:color w:val="000000" w:themeColor="text1"/>
                <w14:textFill>
                  <w14:solidFill>
                    <w14:schemeClr w14:val="tx1"/>
                  </w14:solidFill>
                </w14:textFill>
              </w:rPr>
              <w:br w:type="textWrapping"/>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、搅拌时间：</w:t>
            </w:r>
            <w:r>
              <w:rPr>
                <w:color w:val="000000" w:themeColor="text1"/>
                <w14:textFill>
                  <w14:solidFill>
                    <w14:schemeClr w14:val="tx1"/>
                  </w14:solidFill>
                </w14:textFill>
              </w:rPr>
              <w:t>45</w:t>
            </w:r>
            <w:r>
              <w:rPr>
                <w:rFonts w:hint="eastAsia"/>
                <w:color w:val="000000" w:themeColor="text1"/>
                <w14:textFill>
                  <w14:solidFill>
                    <w14:schemeClr w14:val="tx1"/>
                  </w14:solidFill>
                </w14:textFill>
              </w:rPr>
              <w:t>分</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、搅拌轴转速：</w:t>
            </w:r>
            <w:r>
              <w:rPr>
                <w:color w:val="000000" w:themeColor="text1"/>
                <w14:textFill>
                  <w14:solidFill>
                    <w14:schemeClr w14:val="tx1"/>
                  </w14:solidFill>
                </w14:textFill>
              </w:rPr>
              <w:t>45</w:t>
            </w:r>
            <w:r>
              <w:rPr>
                <w:rFonts w:hint="eastAsia"/>
                <w:color w:val="000000" w:themeColor="text1"/>
                <w14:textFill>
                  <w14:solidFill>
                    <w14:schemeClr w14:val="tx1"/>
                  </w14:solidFill>
                </w14:textFill>
              </w:rPr>
              <w:t>转</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分</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5</w:t>
            </w:r>
            <w:r>
              <w:rPr>
                <w:rFonts w:hint="eastAsia"/>
                <w:color w:val="000000" w:themeColor="text1"/>
                <w14:textFill>
                  <w14:solidFill>
                    <w14:schemeClr w14:val="tx1"/>
                  </w14:solidFill>
                </w14:textFill>
              </w:rPr>
              <w:t>、电动机功率：</w:t>
            </w:r>
            <w:r>
              <w:rPr>
                <w:color w:val="000000" w:themeColor="text1"/>
                <w14:textFill>
                  <w14:solidFill>
                    <w14:schemeClr w14:val="tx1"/>
                  </w14:solidFill>
                </w14:textFill>
              </w:rPr>
              <w:t>2.2</w:t>
            </w:r>
            <w:r>
              <w:rPr>
                <w:rFonts w:hint="eastAsia"/>
                <w:color w:val="000000" w:themeColor="text1"/>
                <w14:textFill>
                  <w14:solidFill>
                    <w14:schemeClr w14:val="tx1"/>
                  </w14:solidFill>
                </w14:textFill>
              </w:rPr>
              <w:t>千瓦</w:t>
            </w:r>
            <w:r>
              <w:rPr>
                <w:color w:val="000000" w:themeColor="text1"/>
                <w14:textFill>
                  <w14:solidFill>
                    <w14:schemeClr w14:val="tx1"/>
                  </w14:solidFill>
                </w14:textFill>
              </w:rPr>
              <w:t xml:space="preserve">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混凝土振动台</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本仪器供实验室内震实成形混凝土制件及制品之用。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主要技术参数：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1、台面尺寸：1000MM×1000MM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2、振动频率：2860次/分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3、振幅：0.3-0.6MM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4、电机功率：1.5千瓦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混凝土渗透仪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HP-4.0自动调压混凝土抗渗仪主要技术参数：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1、允许最大工作压力：40pa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2、工作方式：自动调压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3，一次可作试件：6件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4、试模几何尺寸：175×185×l50mm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5，电动机功率：90W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6、转速：1390r／min</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标准养护室装置</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配置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50型冷热风恒温机一台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3升超声波加湿器一台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单联水过滤器一个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温湿度控制器一台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主要技术指标</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温度测量范围：0℃-60℃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2温度分辨率：0.1℃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温度测量误差：≤±0.3℃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室内控温精度：20±2℃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 湿度测量范围： 0-99%RH</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 湿度测量误差：≤±5%RH</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 湿度控制精度：设定值±5%RH</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 加热控制功率：≤6KW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制冷控制功率：2.75KW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加湿控制功率：0.75KW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 电源：AC380V±10%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 功耗：80w</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数显砂浆稠度仪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主要用于确定配合比或施工过程中控制砂浆的稠度，以达到控制用水量。产品符合JGJ/T70标准要求。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1、沉入深度:0-14.5cm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2、沉入体积:0-229.3cm3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3、锥体及标尺合重：300±2g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4、数显标尺量程:0-150mm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电动击实仪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1.击实锤重：4.5kg（重型击实）、2.5kg（轻型击实）</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2.击锤落高：450mm（重型击实）</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3.击实锤面直径：50mm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4.试筒规格：φ152mm     φ100mm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5.击实速度：30次/分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6.电机参数：1400转/分  250w   380w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7.设定锤击次数：0-99次之间</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分析天平</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准确度级别：1级</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称量范围：0-200g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实际分度值：0.1mg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稳定时间：≤8S</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电子天平</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最大称量：2000g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重复性：±0.2g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可读性100mg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最大称量15Kg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读数精度：±0.5g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电子台秤</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最大称量30Kg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读数精度：±1g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混凝土贯入阻力仪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STHG-80混凝土贯入阻力仪本仪器用于测定混凝土物的凝结时间。</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1、最大测力：1000N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2、刻度盘精度：5N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3、测针圆面积：100立方毫米、50立方毫米、20立方毫米</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4、贯入阻力：0.2-3.5mpa  3.5-20mpa  20-28mpa</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含气量测定仪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本仪器适用于测定集料粒径不大于40mm，含气量不大于10％，有坍落度的混凝土拌合物中的含气量，符合交通部发布94－07－05＜公路工程水泥混凝土试验规程＞＜JTJ053－94＞的全部规定，该测定方法符合GBJ80－85标准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1、量钵最大容积：7L</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2、量程：0～10%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3、骨料最大粒径：40mm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电液伺服万能试验机（钢绞线万能材料试验机）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产品特点：</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一、试验机主机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*1.主机采用锻造钢框架结构，强度高，刚性好。</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*2.进行预设空间调整的大行程油缸,设有快退阀,有利于不同高度试样的快速调整,利于橡塑等变形量较大的材料试验,缩短试验的周期。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*3.主机采用弧形浮头压板机构，加上对框架和油缸的精密加工、检验和装配，以保证在加载试验中试样受压中心线与机器整体压力中心线同轴，样品得以均匀受压。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*4.采用高精度负荷传感器,可保证试验过程和参数的准确性。</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*5.设有防护罩，可防止崩伤又不妨碍观察。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二、油源系统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*1.内置一体式伺服电机伺服泵油源系统，节能，220V 电源，具有精度高，静载稳定等特点。</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*2.内置一体式油源，与受力框架主机浑然一体，由液压泵站、油源控制、主机控制、电脑主机等组成一体，在操作、维修、防护、搬运方便。</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整个系统采用伺服闭环控制，高响应性的进口伺服电机（ABB）扭矩及转速稳定性高，换向阀，溢流阀等均采用优质元件阀芯反应快、灵敏度高。实时监控负荷、位移、变形等情况，具有跟踪性、随动性、可调性等功能特点，能够实现全自动精确控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性能与技术指标：</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最大试验力：1000KN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立柱间有效距离：330mm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最大拉伸钳口之间距离：800mm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压缩最大间距：350mm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 圆试样夹持范围：&lt;42mm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 扩展配置螺纹钢试验范围：&lt;42mm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 扁试样夹持厚度：&lt;40mm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 上下压板尺寸：φ180/20mm9. 活塞移动速度范围：0-200mm/min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*10.主体结构形式：油源、控制系统、受力框架一体式结构；六立柱设计，系统更稳定。</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11.安装形式：减震结构，无需基础</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12.搬运形式：机身可降至1.9M以下，方便进户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*13.供电方式：单相220V/2kw+1.5kw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14.测力与控制方式：双荷重传感器、电液伺服微电脑控制（含联网电脑）</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*15.空间调整方式：双向油缸调节，双泵源调速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16.油缸行程：350mm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*17.试验机示值准确度等级：1级 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*18.钳口类型：液压Q型钳口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19.试验力测试量程：1%-100%FS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20.变形（引伸计）测量范围：1%-100%FS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21.变形示值相对误差：±1%/±0.5%以内</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22.变形分辨力：最大变形量的1/300000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23.试验机加载速率范围：0.02%-2%FS/s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*24.双高精荷重传感器：进口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*25.低噪声柱塞伺服泵：德国</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*26.伺服制造系统：进口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27.电磁阀：北京华德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*28.双油缸：进口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*投标单位出具生产厂家针对本项目的专项授权书、售后服务承诺书、本机型计量器具制造许可证。</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洛氏硬度计</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功能要求：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手动洛氏硬度计，精确、可靠、耐用，测试效率高耐用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表盘直接读数,HRA、HRB、HRC标尺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可选配洛氏的其它标尺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精密油压缓冲器，加载速度可调</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 机械手动测试过程，无需电气控制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 适用于生产现场中的品质监控，工作环境适应性强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 精度符合GB/T230.2 ISO 6508-2和美国ASTM E18</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主要技术规格：</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测量范围：20-88HRA，20-100HRB，20-70HRC</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试验力：588.4、980.7、1471牛顿（60、100、150公斤力）</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试样允许最大高度：170毫米</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压头中心至机壁距离：135毫米</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 硬度分辨率：0.5HR</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 外形尺寸：466×238×630毫米</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 重量：约65千克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标准配置：1.大平试台1个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2.小平试台1个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3.V型试台1个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4.金刚石圆锥压头1只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5.1/16”钢球压头1只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6.标准洛氏硬度块5块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全自动沥青软化点仪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电脑控制升温速率，数据检测，贮存和处理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1、测温精度：±0.1℃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2、测温范围：E型 5℃～90℃  E/F型 5℃～90℃和80℃～150℃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3、升温速率：5.0℃/ min±0.5℃</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4、下沉距离：25.4mm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5、钢球直径：9.53mm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6、钢球重量：3.5±0.05g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7、电源电压：220V～800W</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低温液显沥青延伸仪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1、电源电压：220±10%  50HZ±0.5HZ</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2、控温范围：0-50±0.1℃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3、制冷功率：1.2KW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4、加热功率：1.8KW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5、最大延度：150cm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6、延伸速度：5cm±0.25cm/min  1㎝±0.05cm/min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7、2米加热功率：2.3KW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8、外形尺寸：2050（2550）×420×930mm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液晶显示,自动计算3个试样的平均值,内存试验数据20组.</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全自动沥青针入度仪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仪器自动控温，控时，针入度采用位移计测定，自动计算平均值，装有20倍的放大镜及聚光灯，方便直观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1、测量范围：0-50mm±0.02mm  测量精度：±0.02mm(最小试值显示0.01mm)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2、标准针和连杆总重量：50±0.05g  砝码重量：50±0.05g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3、控温精度：25℃±0.1℃  自动控时：5S、60S±0.1 电压220V</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回弹仪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指针长度：20.0±0.2(mm)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指针摩擦力：0.65±0.15(N)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弹击杆端部球面半径：25±1.0(mm)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弹击拉簧刚度：785.0±40.0(N/m)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弹击锤脱钩位置：刻度线“100”刻线处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弹击拉簧工作长度：61.5.0±0.3(mm)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弹击锤冲击长度 ：75±0.3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弹击锤起跳位置：刻度尺“0”处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钢砧率定值：80±2（我厂出厂产品控制在80-81之间</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装机组成</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回弹仪一台、磨石、弹击拉簧、缓冲簧、螺丝刀、说明书等</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高强回弹仪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 技术要求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3.1.1 测定回弹值的仪器，必须采用能量为5.5J的回弹仪，其弹击锤冲击长度为100mm，弹击杆前端球面半径为18 mm。回弹仪必须具有制造厂的合格证及检定单位的检定合格证，并应在回弹仪的明显位置上具有下列标志：名称、型号、制造厂名（或商标）、出厂编号、出厂日期等。</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3.1.2 回弹仪必须符合下列标准状态的要求：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1、水平弹击时，弹击锤脱钩的瞬间，回弹仪的标准能量应为5.5J；</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2、弹击锤与弹击杆碰撞的瞬间，弹击拉簧应处于自由状态，此时弹击锤起跳点应相应于指针指示刻度尺上“0”处；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3、在洛氏硬度HRC为60±2的钢砧上，回弹仪的率定值应为83±2。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3.1.3 回弹仪使用时的环境温度应为（-4~ +40）℃。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3.2 技术指标</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1、标准能量                    5.5J</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2、弹击拉簧冲击长度            100mm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3、弹击拉簧刚度                1100N/m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4、钢砧率定值                  83±2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5、弹击杆冲击球面半径          SR18mm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6、仪器质量                    1.28kg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7、规 格                      ф54×350mm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6024"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非金属超声检测仪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主控方式:内置A8工控主板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显示屏: 5.7英寸、高亮度、TFT彩色液晶电容屏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存储方式:内置电子硬盘（≥4GB）+大容量U盘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*操作方式:按键＋触摸屏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信号采集模式:自动连续快速采集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通道数:1发射＋1接收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触发方式:信号触发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采样周期:0.025μs~1638.4μs多档可选</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*声时精度:0.025μs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声时测度范围:±1677700μs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动态范围:154dB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频带宽度:3~450kHz</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接收灵敏度:≤10μv 增益精度 0.5dB</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发射电压（V）:65、250、500、1000 V四档可调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*通讯接口:USB、MiniUsb、Wi-Fi、蓝牙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主机尺寸（mm） 210×149×60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供电方式:内置锂电池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工作环境:温度 -10℃~+40℃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外置:220V AC/DC  湿度 &lt;90%RH</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主机重量:1.36kg（含内置电池）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工作时间:&gt;5h</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云上传:支持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*航空电池认证:有</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台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裂缝检测仪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功能要求：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中文界面，显示信息直观、丰富，操作便捷； 内置可充电电池，满足野外环境使用，经济环保。</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1、测试范围：5-500mm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2、测试精度：≤±5%mm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3、存储容量：1000个构件、每个构件124条裂缝</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4、主机尺寸：190mm×135mm×52mm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5、显示分辨率：320×240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*6、通讯接口：标准USB口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7、工作时间：&gt;12h</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8、供电方式：内置锂电池</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*无缝对接智博联工程检测管理系统</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台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锚杆拉拔仪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中文设定菜单；</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500条数据记录；</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30吨以下油缸为自动复位，30吨以上为手动复位；</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峰值保持、无操作自动关机、数值10段折线修正；超低功耗，连续工作时间可超过200小时。油缸中心孔45mm油缸行程80mm测量范围0～300kN常用锚具Ф6-20拉杆M18</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锚杆拉拔仪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中文设定菜单；</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500条数据记录；</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30吨以下油缸为自动复位，30吨以上为手动复位；</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峰值保持、无操作自动关机、数值10段折线修正；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超低功耗，连续工作时间可超过200小时。缸中心孔27mm 油缸行程60mm测量范围0～100kN常用锚具Ф6-32拉杆M24</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铆钉拉拔仪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符合标准JGJ144-2004《外墙外保温工程技术规程》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JG/T158-2013《胶粉聚苯颗粒外墙外保温系统》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JG149-2003《膨胀聚苯板薄抹灰外墙外保温系统》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JGJ110-2008《建筑工程饰面砖粘结强度检验标准》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JGJ126-2015《外墙饰面砖工程施工及验收规程》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GB50550-2010《建筑结构加固工程施工质量验收规范》一体化设计，嵌入式测量显示电路</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峰值保持功能</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可存储最多200条数据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10段折线修正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自动关机及背光控制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高速USB 通讯接口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专用上位机软件最大拉力值10kN拉力行程0mm精度等级0.5%F.S</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楼板厚度检测仪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主要技术指标</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*测试厚度范围：30mm～860mm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测试精度：  30 mm～200mm   ±1mm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201 mm～500mm  ±2mm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501 mm～860mm  ±3mm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*自动定位范围：直径2米</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数据存储容量：260万个构件。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5、 液晶分辨率：液晶分辨率：1280×800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 电池及使用时间：内置锂离子电池。主机连续工作时间5小时，待机时间72小时。发射、接收探头连续工作时间约15小时。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 体积重量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接收探头 体积：</w:t>
            </w:r>
            <w:r>
              <w:rPr>
                <w:color w:val="000000" w:themeColor="text1"/>
                <w14:textFill>
                  <w14:solidFill>
                    <w14:schemeClr w14:val="tx1"/>
                  </w14:solidFill>
                </w14:textFill>
              </w:rPr>
              <w:t>Æ</w:t>
            </w:r>
            <w:r>
              <w:rPr>
                <w:rFonts w:hint="eastAsia"/>
                <w:color w:val="000000" w:themeColor="text1"/>
                <w14:textFill>
                  <w14:solidFill>
                    <w14:schemeClr w14:val="tx1"/>
                  </w14:solidFill>
                </w14:textFill>
              </w:rPr>
              <w:t>116 mm×142mm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重量： 580g（含锂电池）</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发射探头 体积：</w:t>
            </w:r>
            <w:r>
              <w:rPr>
                <w:color w:val="000000" w:themeColor="text1"/>
                <w14:textFill>
                  <w14:solidFill>
                    <w14:schemeClr w14:val="tx1"/>
                  </w14:solidFill>
                </w14:textFill>
              </w:rPr>
              <w:t>Æ</w:t>
            </w:r>
            <w:r>
              <w:rPr>
                <w:rFonts w:hint="eastAsia"/>
                <w:color w:val="000000" w:themeColor="text1"/>
                <w14:textFill>
                  <w14:solidFill>
                    <w14:schemeClr w14:val="tx1"/>
                  </w14:solidFill>
                </w14:textFill>
              </w:rPr>
              <w:t>100mm×87mm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重量： 330g（含锂电池）</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主要配置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主机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发射探头</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接收探头</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延长杆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 对讲机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 防水仪器箱</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*投标单位出具生产厂家针对本项目的专项授权书、售后服务承诺书。</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*投标单位带样机现场演示加*号功能，不演示或不满足视为无效投标。</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台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多功能强度检测仪（拔出法）</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应用领域：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适用于建筑工程混凝土强度检测（C10～C80）,外墙饰面砖粘结强度等有关抗拉拔强度的现场检测。混凝土强度检测是利用后装拔出法原理，通过测定置于混凝土内锚固件的拔出力来计算混凝土强度。饰面砖粘结强度的检测是通过测定三点反力支撑对其粘结材料产生的拉力。</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符合标准：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CE CS69：94《后装拔出法检测混凝土强度技术规程》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JGJ110-2008《建筑工程饰面砖粘结强度检验标准》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JGJ126-2000《外墙饰面砖工程施工及验收规程》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1、显示模式：力值、强度可调</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2、液压油缸行程：10mm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3、测量范围：0-40.000KN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4、分辨率：0.001KN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5、测量精度：2%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6、峰值保持：有</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7、数据存储：500条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8、液晶照明：有</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9、数值修正：10段折线数值修正、提高精度</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10、供电方式：高容量锂电</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11、自动关机：有</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产品配置：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1、拉拔仪主机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2、HC-L1数字压力仪表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3、混凝土拉拔配件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4、饰面砖拉拔配件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5、便携式仪器箱</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贯入式砂浆强度检测仪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应用领域：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适用于砌体砂浆强度检测。采用杠杆式加力方法，把测钉贯入至砂浆中，通过钉子的贯入深度与测强曲线来换算砂浆抗压强度的一种新型现场检测方法。</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符合标准：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（JGJ/T136-2001）《贯入法检测砌筑砂浆抗压强度技术规程》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《针贯入法检测混凝土强度技术规程》（Q/JY23-2001）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产品特点：</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产品具有操作简单、检测结果准确、试验费用低廉等优点，深受用户好评，也是目前现场砂浆强度检测中使用最为广泛的一种检测技术。</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1、贯入仪贯入力：800±8N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2、工作冲程：20±0.1mm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3、数字测量尺量程：20mm±0.01mm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4、测钉长度：40mm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5、测钉直径：3.5mm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6、量规槽：39.5mm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产品配置：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1、检测仪主机、加力杆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2、测钉20根</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3、数显自复位深度测量表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4、测钉量规、紧钉器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5、便携式仪器箱</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砂浆回弹仪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产品介绍：本仪器砂浆回弹仪是用弹簧驱动弹击锤并通过弹击杆弹击砌筑砂浆表面所产生的瞬时弹性形变的恢复力，使锤带动指针弹回并指示出回弹距离，以回弹值作为评定砂浆抗压强度的相关指标之一来推定砂浆的抗压强度及标号。完全符合GB/T50315-2011标准符合国家计量检定规程《回弹仪》（GGJ817-2011）。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性能特点：仪器完全符合GB/T50315-2011标准，弹簧采用进口优质钢丝制作，机芯选料精良，整机采用优质高强度轻质铝合金运用最先进工艺加工，操作更轻便、耐用、不易磨手、示值更准确。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技术参数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1、标称动能：0.196J</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2、弹击锤冲击长度：75±0.3mm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3、指针滑块的摩擦力：0.5±0.1N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4、弹击拉簧工作长度：61.5±0.3mm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5、弹击锤脱钩位置：刻度尺“100”刻线</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6、弹击杆端部球面半径：R25±1mm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7、钢砧率定值：74±2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8、弹击锤起跳位置：刻度尺“0-1”之间。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原位压力仪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适用于推定180mm-240mm厚普通砖及空心、多孔、免烧、砌块儿等砌体的抗压强度试验。</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1、额定压力:750KN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2、极限压力:800KN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3、最大行程:20mm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4、极限行程:25mm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5、示值相对误差:3%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6、上压板平面尺寸:370mmX240mm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7、设备总重量:104kg、其中扁式千斤顶57kg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8、下压板尺寸:240mmX240mm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9、贮油量:1.5升</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10、扁式千斤顶主缸直径:168mm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11、分辨率：0.1KN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多功能混凝土钢筋检测仪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依据标准：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《混凝土中钢筋检测技术规程》--JGJ/T 152-2008</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《电磁感应法检测钢筋保护层厚度和钢筋直径技术规程》--DB11/T365-2006</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技术指标：</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1、保护层厚度适用范围（mm）：φ6-φ50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2、最大量程（mm）：</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第一量程：3-98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第二量程：3-196</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3、保护层厚度最大允许误差：</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±1（mm）  3-77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±2（mm） 78-120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±4（mm）  121-196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4、直径测量适用范围（mm）：φ6-φ50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5、直径测量最大允许误差（规格）：±1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6、普通模式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7、密集钢筋模式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8、剖面模式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9、网络模式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10、扫描范围：无边界</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11、数据修正功能（间距/厚度）：自动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12、数据传输模式：U盘存储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13、显示屏：160×128</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14、供电方式：内置锂电池</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17、探头：双探头</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18、云上传：支持</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19、航空电池认证：有</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百分表</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0-10mm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刻度放大镜</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40倍</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锚杆拉拔仪(单油路)</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应用领域：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适用于各种锚杆、钢筋、膨胀螺栓等锚固件的锚固力检测，也可做玻璃幕墙的现场抗拔力检测（试验），是各质检单位必备的检测仪器。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符合标准：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GB50367-2006《混凝土结构加固设计规范》</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GB50330-2013《建筑边坡工程技术规范》</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JGJ120-2012《建筑基坑支护技术规程》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产品特点：</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中文设置菜单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500条数据记录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3、30吨以下油缸为自动复位，30吨以上为手动复位；</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峰值保持、无操作自动关机、数值10段折线修正；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油缸尺寸：   300KN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φd1         45mm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φd2         74mm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φd3         125mm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h1          210mm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h2          11mm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1、油缸中心孔：  45mm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2、油缸行程：    80mm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3、测量范围：    0-300KN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4、油缸重量:     15kg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5、常用锚具：    φ6-32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6、拉杆：        M24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7、转换头：      M6-27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混凝土取芯机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HZ-250型电动混凝土钻孔取芯机(大功率）技术参数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最大钻孔直径： Φ200mm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最大钻孔深度： 700mm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进给方式： 手动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主轴转速： 700r/min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钻头形式： 人造金钢石薄壁钻头</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配套电机： 单相串激电机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功率： 3.3KW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电压： 220v</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碳化深度尺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回弹仪钢砧</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拉拔仪锚具</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拉拔仪转换杆</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拉拔仪转换头</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砂浆点荷仪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量程：5KN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行程：30mm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精度：小于2%</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百分表</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气相色谱仪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功能要求：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1.主机采用7英寸彩色触控屏，人机交换界面友好</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2.计算机反控和主机触控屏实现同步双向控制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3.多核、32位嵌入式的硬件系统，保证了仪器可靠运行</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4.气路有流量压力显示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5.可扩展的同步的外部触发功能，可以由外部信号（自动进样器、热解析仪等）同时启动主机和工作站</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6.具有完善的系统自检功能和故障自动识别功能</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7.具有8个外部事件的扩展功能接口，可以选配各种控制阀，并按照自己设定时序工作</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主要技术参数：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柱温箱：</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1.内容积：22L</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2.温度范围：室温上5℃-400℃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3.温控精度：±0.1℃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4.升温速率：0.1-60℃/min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5.程序升温介数：9</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6.程序升温重复性：≤2%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7.降温方式：后开门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8.降温速度：≤10mins（250℃-50℃）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进样器：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1.温控范围：室温上7℃～420℃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2.控温方式：独立控温</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3.载气流量控制方式：恒压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4.同时安装数：最多3个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5.分流比：分流比显示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6.柱头压力范围：0-400Kpa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7.柱头压力控制精度：0.1Kpa8.流量设定范围：H2 0-200ml/min  N2 0-150ml/min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检测器：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1.FID、TCD任选一个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2.检测器气体采用EPC控制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3.温度范围：室温上7℃～420℃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4.同时安装数：最多2个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5.点火功能：自动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6.氢火焰离子化检测器（FID）：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检测限：DFID≤3×10-12 g /s（正十六烷）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基线噪声：≤5×10-14A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基线漂移：≤6×10-13A/h</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动态范围：≥107</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7.热导检测器（TCD）</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灵敏度：8000mV．ml/mg（正十六烷）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基线噪声：≤0.05mV</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基线漂移：≤0.15mV/30min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线性范围：≥105</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氢气发生器</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氢气纯度：99.999%</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氢气流量：0-300ml/min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输出压力：0-0.4Mpa，0-0.6Mpa (两挡可调)</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压力稳定性：&lt; 0.001MPa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 供电电源：220V±10%, 50Hz</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 消耗功率：150W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 外型尺寸：370×330×180mm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 净重：约11Kg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氮气发生器</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主要技术参数：输出流量（ml/min）：0-300；输出压力（MPa）：0-0.35；压力稳定性：＜0.003；氧含量：＜3PPM；常压露点：-56℃；外形尺寸（L×W×H）：450×230×340；重量（Kg）:15</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静音无油空气发生器</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输出流量   0-3000ml/min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输出压力   0-0.4Mpa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压力稳定性 ＜0.002Mpa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工作电压   ＜35dB</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色谱工作站</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通讯方式：RS-232（无需外接电源）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最小精度：0.05±0.02微伏；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积分灵敏度：1微伏秒;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动态范围：0-107；</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线性度：小于±0.1％;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电压输入范围：-2.5伏~+2.5伏;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采样频率：10，20，50次/秒；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通道数：2</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台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石英毛细管柱</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SE-30，50m*0.32mm*3.0μ</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根</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活性碳管</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Tenax采样管</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1.材质：玻璃</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2.长度：200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3.填料质量：150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4.阻隔材料：玻璃棉+钢丝网</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支</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智能热解吸仪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解析温度：室温~380℃；阀箱温度：室温~150℃；管路温度：室温~150℃；直接进样，可与各种品牌的色谱配接；采用高精密稳压阀，稳压精度高；加热阀箱中使用精密耐高温六通阀，无死体积，最高使用温度可到200℃</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空气及土壤测氡仪（环境测氡仪）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一、主要技术指标</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检测对象：222Rn、220Rn、钍射气（水、土壤、空气中都可测量）；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α谱仪：实时显示a谱线；</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检测器：金硅面垒探测器，对震动和噪音不敏感，背景读数低；</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校验：一般情况下，年漂移小于2%；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 本底计数：＜0.01count/min；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 探测下限：≤3.7Bq/m3；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 灵敏度：0.2CPM/pCi/L；</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 测量范围：0.1-25000pCi/L(3.7Bq/m3-92500Bq/m3)；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 测量不确定度：≤10%（K=2）；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 测量时间：5分钟-不间断连续跟踪测量；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11. 液晶显屏：320×240图形点阵；</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12. 气泵：流量为1L/min；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13. 数据存储：1000个氡浓度测量谱线，并可随时调出、打印；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14. 控制：面板键盘24键，操作简单，预先编程的标准操作步骤；</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15. 电源：AC：220V，内置充电器充电，充足电可使用10个小时；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*16. 打印机：自带嵌入式打印机，可以连续打印原始测量数据。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17. 工作环境：温度-10℃-50℃，相对湿度≤95%的无凝结水；</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18. 主机尺寸：330（D）×200（W）×180（H）mm；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19. 重量：整机5Kg。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二、仪器基本配置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主机1台 (含软件)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电源适配器1个；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3. 土壤测氡附件1套；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附加干燥筒1个；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 硅橡胶管2根（各2米长）</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6．干燥剂2瓶；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 仪器检定证书1份（中国测试计量研究院出具）；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 仪器说明书1本；</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 仪器合格证1份；</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*生产厂家出具针对本项目的专项授权书、售后服务承诺书。</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可见分光光度计</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1.波长范围；325nm～1000nm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2.波长最大允许误差：±2nm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3.波长重复性：≤1nm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4.透射比最大允许误差：±0.5%（T）（以NBS930D测定）</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5.透射比重复性：≤0.2%（T）</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6.光谱带宽：4nm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7.杂散光：≤0.1%（T）(在360nm处，以NaNO2测定)</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8.稳定性: 暗电流漂移：0.2%(T)/3min  亮电流漂移：0.5%(T)/3min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9.电源电压：AC220V±22V  50Hz±1Hz</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低本底</w:t>
            </w:r>
            <w:r>
              <w:rPr>
                <w:color w:val="000000" w:themeColor="text1"/>
                <w14:textFill>
                  <w14:solidFill>
                    <w14:schemeClr w14:val="tx1"/>
                  </w14:solidFill>
                </w14:textFill>
              </w:rPr>
              <w:t>γ</w:t>
            </w:r>
            <w:r>
              <w:rPr>
                <w:rFonts w:hint="eastAsia"/>
                <w:color w:val="000000" w:themeColor="text1"/>
                <w14:textFill>
                  <w14:solidFill>
                    <w14:schemeClr w14:val="tx1"/>
                  </w14:solidFill>
                </w14:textFill>
              </w:rPr>
              <w:t>谱仪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一、仪器主要技术参数和特点：</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 专利技术的全数字化多道析器（专利号：ZL 2011 1 0183606.X）；</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脉冲模式与谱线模式自由互换；</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 梯形脉冲成型，成型时间：2μS；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 微分非线性：0.2%；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 积分非线性：0.01%；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 软件可调增益范围：1-65535；</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 时间量程：10-300000秒,时间可调；</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 测量元素范围：U、Th、K、137Cs、241Am等多种放射性核素；</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 测量能量范围：20keV-10MeV之间可调（常用：50keV-3MeV）；</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 重复性: &lt;3.0%；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11. 稳定性: &lt;1.0%；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12. RS-232C，通用串行接口联接计算机显示操作；</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13. 测量结果不确定度: ≤8%</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14. 探测器能量分辨率：优于7.0%(137Cs661KeV)；</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*15. 仪器整机分辨率：优于6.0%(137Cs661KeV)；</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16. 24小时内峰位漂移不大于0.5%；</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17. 仪器整机探测效率高，零漏计数；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18. 单核素标准物质进行仪器标定，快速、准确；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19. 全自动仪器校准功能，使用更方便、准确；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*20. 凹底大样盒，比普通样盒计数率提高2倍以上，测量时间短。</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21. 在能区50keV-3000keV内本底计数率不大于3 s-1（cps）；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22. Windows平台下全中文测量软件，智能化操作，使用简单方便；</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23. 整机功耗：电流小于300mA；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24. 使用温度： 0℃—50℃；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25. 主机重量小于1.5kg，尺寸：尺寸：220×210×100(mm)；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26. 新一代标准大铅室（外径≥440mm,屏蔽室壁厚≥110m，内腔直径≥220mm，带有复合内衬层），重量：≥900Kg；</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27. 高灵敏低钾NaI(Tl)能谱探头(晶体尺寸ф75mm×75mm)；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*28. 国家级仪器校准证书（由中国测试技术研究院出具，2年有效期）；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29. 提供一年的免费质保，仪器终身维护（仅收成本费）。</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*生产厂家出具针对本项目的专项授权书、售后服务承诺书。</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二、仪器配置清单：</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1．数字化低本底多道γ能谱仪主机一台（1024道）；</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 高灵敏低钾NaI(Tl)探测器一个(晶体尺寸ф75mm×75mm，能量分辨率优于7%)；</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3．标准大铅室1套（外径≥440mm,屏蔽室壁厚≥105m，内腔直径≥220mm，带有复合内衬层）；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4．CIT-3000F建材放射性检测仪器分析软件一套；</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5．USB数据转接盒一个(含通讯电缆2根)；</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6．仪器峰位校准标样两个（钾标样、镭、钾混合样各一个）；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7．放射性标准样品盒一套（10个）；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 国家级仪器校准证书一份（中国测试技术研究院出具，2年有效期）；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9．用户使用说明书一份；</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10．惠普品牌电脑一台；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11. 惠普激光打印机一台。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材料表面氡析出率测定装置</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规格及技术参数：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1、连续10h测量探测下限：≤0.001Bq /（m2·s）。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2、不确定度：≤ 20 % 。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3、测定环境条件：温度25℃±5℃；相对湿度45%±10%。</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分析天平</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主要技术参数：</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1</w:t>
            </w:r>
            <w:r>
              <w:rPr>
                <w:rFonts w:hint="eastAsia"/>
                <w:color w:val="000000" w:themeColor="text1"/>
                <w14:textFill>
                  <w14:solidFill>
                    <w14:schemeClr w14:val="tx1"/>
                  </w14:solidFill>
                </w14:textFill>
              </w:rPr>
              <w:t>、量程：</w:t>
            </w:r>
            <w:r>
              <w:rPr>
                <w:color w:val="000000" w:themeColor="text1"/>
                <w14:textFill>
                  <w14:solidFill>
                    <w14:schemeClr w14:val="tx1"/>
                  </w14:solidFill>
                </w14:textFill>
              </w:rPr>
              <w:t>210g</w:t>
            </w:r>
            <w:r>
              <w:rPr>
                <w:color w:val="000000" w:themeColor="text1"/>
                <w14:textFill>
                  <w14:solidFill>
                    <w14:schemeClr w14:val="tx1"/>
                  </w14:solidFill>
                </w14:textFill>
              </w:rPr>
              <w:br w:type="textWrapping"/>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、可读性：</w:t>
            </w:r>
            <w:r>
              <w:rPr>
                <w:color w:val="000000" w:themeColor="text1"/>
                <w14:textFill>
                  <w14:solidFill>
                    <w14:schemeClr w14:val="tx1"/>
                  </w14:solidFill>
                </w14:textFill>
              </w:rPr>
              <w:t>0.1mg</w:t>
            </w:r>
            <w:r>
              <w:rPr>
                <w:color w:val="000000" w:themeColor="text1"/>
                <w14:textFill>
                  <w14:solidFill>
                    <w14:schemeClr w14:val="tx1"/>
                  </w14:solidFill>
                </w14:textFill>
              </w:rPr>
              <w:br w:type="textWrapping"/>
            </w:r>
            <w:r>
              <w:rPr>
                <w:color w:val="000000" w:themeColor="text1"/>
                <w14:textFill>
                  <w14:solidFill>
                    <w14:schemeClr w14:val="tx1"/>
                  </w14:solidFill>
                </w14:textFill>
              </w:rPr>
              <w:t>3</w:t>
            </w:r>
            <w:r>
              <w:rPr>
                <w:rFonts w:hint="eastAsia"/>
                <w:color w:val="000000" w:themeColor="text1"/>
                <w14:textFill>
                  <w14:solidFill>
                    <w14:schemeClr w14:val="tx1"/>
                  </w14:solidFill>
                </w14:textFill>
              </w:rPr>
              <w:t>、重复性：</w:t>
            </w:r>
            <w:r>
              <w:rPr>
                <w:color w:val="000000" w:themeColor="text1"/>
                <w14:textFill>
                  <w14:solidFill>
                    <w14:schemeClr w14:val="tx1"/>
                  </w14:solidFill>
                </w14:textFill>
              </w:rPr>
              <w:t>±0.1mg</w:t>
            </w:r>
            <w:r>
              <w:rPr>
                <w:color w:val="000000" w:themeColor="text1"/>
                <w14:textFill>
                  <w14:solidFill>
                    <w14:schemeClr w14:val="tx1"/>
                  </w14:solidFill>
                </w14:textFill>
              </w:rPr>
              <w:br w:type="textWrapping"/>
            </w:r>
            <w:r>
              <w:rPr>
                <w:color w:val="000000" w:themeColor="text1"/>
                <w14:textFill>
                  <w14:solidFill>
                    <w14:schemeClr w14:val="tx1"/>
                  </w14:solidFill>
                </w14:textFill>
              </w:rPr>
              <w:t>4</w:t>
            </w:r>
            <w:r>
              <w:rPr>
                <w:rFonts w:hint="eastAsia"/>
                <w:color w:val="000000" w:themeColor="text1"/>
                <w14:textFill>
                  <w14:solidFill>
                    <w14:schemeClr w14:val="tx1"/>
                  </w14:solidFill>
                </w14:textFill>
              </w:rPr>
              <w:t>、线性误差：</w:t>
            </w:r>
            <w:r>
              <w:rPr>
                <w:color w:val="000000" w:themeColor="text1"/>
                <w14:textFill>
                  <w14:solidFill>
                    <w14:schemeClr w14:val="tx1"/>
                  </w14:solidFill>
                </w14:textFill>
              </w:rPr>
              <w:t>±0.2mg</w:t>
            </w:r>
            <w:r>
              <w:rPr>
                <w:color w:val="000000" w:themeColor="text1"/>
                <w14:textFill>
                  <w14:solidFill>
                    <w14:schemeClr w14:val="tx1"/>
                  </w14:solidFill>
                </w14:textFill>
              </w:rPr>
              <w:br w:type="textWrapping"/>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、操作温度范围：</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6</w:t>
            </w:r>
            <w:r>
              <w:rPr>
                <w:rFonts w:hint="eastAsia"/>
                <w:color w:val="000000" w:themeColor="text1"/>
                <w14:textFill>
                  <w14:solidFill>
                    <w14:schemeClr w14:val="tx1"/>
                  </w14:solidFill>
                </w14:textFill>
              </w:rPr>
              <w:t>、称盘尺寸：</w:t>
            </w:r>
            <w:r>
              <w:rPr>
                <w:color w:val="000000" w:themeColor="text1"/>
                <w14:textFill>
                  <w14:solidFill>
                    <w14:schemeClr w14:val="tx1"/>
                  </w14:solidFill>
                </w14:textFill>
              </w:rPr>
              <w:t>φ80mm</w:t>
            </w:r>
            <w:r>
              <w:rPr>
                <w:color w:val="000000" w:themeColor="text1"/>
                <w14:textFill>
                  <w14:solidFill>
                    <w14:schemeClr w14:val="tx1"/>
                  </w14:solidFill>
                </w14:textFill>
              </w:rPr>
              <w:br w:type="textWrapping"/>
            </w:r>
            <w:r>
              <w:rPr>
                <w:color w:val="000000" w:themeColor="text1"/>
                <w14:textFill>
                  <w14:solidFill>
                    <w14:schemeClr w14:val="tx1"/>
                  </w14:solidFill>
                </w14:textFill>
              </w:rPr>
              <w:t>7</w:t>
            </w:r>
            <w:r>
              <w:rPr>
                <w:rFonts w:hint="eastAsia"/>
                <w:color w:val="000000" w:themeColor="text1"/>
                <w14:textFill>
                  <w14:solidFill>
                    <w14:schemeClr w14:val="tx1"/>
                  </w14:solidFill>
                </w14:textFill>
              </w:rPr>
              <w:t>、开机预热：</w:t>
            </w:r>
            <w:r>
              <w:rPr>
                <w:color w:val="000000" w:themeColor="text1"/>
                <w14:textFill>
                  <w14:solidFill>
                    <w14:schemeClr w14:val="tx1"/>
                  </w14:solidFill>
                </w14:textFill>
              </w:rPr>
              <w:t>60-120</w:t>
            </w:r>
            <w:r>
              <w:rPr>
                <w:rFonts w:hint="eastAsia"/>
                <w:color w:val="000000" w:themeColor="text1"/>
                <w14:textFill>
                  <w14:solidFill>
                    <w14:schemeClr w14:val="tx1"/>
                  </w14:solidFill>
                </w14:textFill>
              </w:rPr>
              <w:t>分钟</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干燥器</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穿孔萃取仪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含三脚架及电热套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电热鼓风干燥箱</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主要技术参数：</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、工作电压：</w:t>
            </w:r>
            <w:r>
              <w:rPr>
                <w:color w:val="000000" w:themeColor="text1"/>
                <w14:textFill>
                  <w14:solidFill>
                    <w14:schemeClr w14:val="tx1"/>
                  </w14:solidFill>
                </w14:textFill>
              </w:rPr>
              <w:t>AC220V50Hz</w:t>
            </w:r>
            <w:r>
              <w:rPr>
                <w:color w:val="000000" w:themeColor="text1"/>
                <w14:textFill>
                  <w14:solidFill>
                    <w14:schemeClr w14:val="tx1"/>
                  </w14:solidFill>
                </w14:textFill>
              </w:rPr>
              <w:br w:type="textWrapping"/>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、控温范围：</w:t>
            </w:r>
            <w:r>
              <w:rPr>
                <w:color w:val="000000" w:themeColor="text1"/>
                <w14:textFill>
                  <w14:solidFill>
                    <w14:schemeClr w14:val="tx1"/>
                  </w14:solidFill>
                </w14:textFill>
              </w:rPr>
              <w:t>RT+10-250</w: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、温度波动：</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4</w:t>
            </w:r>
            <w:r>
              <w:rPr>
                <w:rFonts w:hint="eastAsia"/>
                <w:color w:val="000000" w:themeColor="text1"/>
                <w14:textFill>
                  <w14:solidFill>
                    <w14:schemeClr w14:val="tx1"/>
                  </w14:solidFill>
                </w14:textFill>
              </w:rPr>
              <w:t>、额定功率：</w:t>
            </w:r>
            <w:r>
              <w:rPr>
                <w:color w:val="000000" w:themeColor="text1"/>
                <w14:textFill>
                  <w14:solidFill>
                    <w14:schemeClr w14:val="tx1"/>
                  </w14:solidFill>
                </w14:textFill>
              </w:rPr>
              <w:t>2.4kw</w:t>
            </w:r>
            <w:r>
              <w:rPr>
                <w:color w:val="000000" w:themeColor="text1"/>
                <w14:textFill>
                  <w14:solidFill>
                    <w14:schemeClr w14:val="tx1"/>
                  </w14:solidFill>
                </w14:textFill>
              </w:rPr>
              <w:br w:type="textWrapping"/>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、容积：</w:t>
            </w:r>
            <w:r>
              <w:rPr>
                <w:color w:val="000000" w:themeColor="text1"/>
                <w14:textFill>
                  <w14:solidFill>
                    <w14:schemeClr w14:val="tx1"/>
                  </w14:solidFill>
                </w14:textFill>
              </w:rPr>
              <w:t>136L</w:t>
            </w:r>
            <w:r>
              <w:rPr>
                <w:color w:val="000000" w:themeColor="text1"/>
                <w14:textFill>
                  <w14:solidFill>
                    <w14:schemeClr w14:val="tx1"/>
                  </w14:solidFill>
                </w14:textFill>
              </w:rPr>
              <w:br w:type="textWrapping"/>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、工作室尺寸（高</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宽</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深）：</w:t>
            </w:r>
            <w:r>
              <w:rPr>
                <w:color w:val="000000" w:themeColor="text1"/>
                <w14:textFill>
                  <w14:solidFill>
                    <w14:schemeClr w14:val="tx1"/>
                  </w14:solidFill>
                </w14:textFill>
              </w:rPr>
              <w:t>550mm×550mm×450mm</w:t>
            </w:r>
            <w:r>
              <w:rPr>
                <w:color w:val="000000" w:themeColor="text1"/>
                <w14:textFill>
                  <w14:solidFill>
                    <w14:schemeClr w14:val="tx1"/>
                  </w14:solidFill>
                </w14:textFill>
              </w:rPr>
              <w:br w:type="textWrapping"/>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、外形尺寸（高</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宽</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深）：</w:t>
            </w:r>
            <w:r>
              <w:rPr>
                <w:color w:val="000000" w:themeColor="text1"/>
                <w14:textFill>
                  <w14:solidFill>
                    <w14:schemeClr w14:val="tx1"/>
                  </w14:solidFill>
                </w14:textFill>
              </w:rPr>
              <w:t>765mm×600mm×850mm</w:t>
            </w:r>
            <w:r>
              <w:rPr>
                <w:color w:val="000000" w:themeColor="text1"/>
                <w14:textFill>
                  <w14:solidFill>
                    <w14:schemeClr w14:val="tx1"/>
                  </w14:solidFill>
                </w14:textFill>
              </w:rPr>
              <w:br w:type="textWrapping"/>
            </w:r>
            <w:r>
              <w:rPr>
                <w:color w:val="000000" w:themeColor="text1"/>
                <w14:textFill>
                  <w14:solidFill>
                    <w14:schemeClr w14:val="tx1"/>
                  </w14:solidFill>
                </w14:textFill>
              </w:rPr>
              <w:t>7</w:t>
            </w:r>
            <w:r>
              <w:rPr>
                <w:rFonts w:hint="eastAsia"/>
                <w:color w:val="000000" w:themeColor="text1"/>
                <w14:textFill>
                  <w14:solidFill>
                    <w14:schemeClr w14:val="tx1"/>
                  </w14:solidFill>
                </w14:textFill>
              </w:rPr>
              <w:t>、搁板负荷（</w:t>
            </w:r>
            <w:r>
              <w:rPr>
                <w:color w:val="000000" w:themeColor="text1"/>
                <w14:textFill>
                  <w14:solidFill>
                    <w14:schemeClr w14:val="tx1"/>
                  </w14:solidFill>
                </w14:textFill>
              </w:rPr>
              <w:t>KG</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:14</w:t>
            </w:r>
            <w:r>
              <w:rPr>
                <w:rFonts w:hint="eastAsia"/>
                <w:color w:val="000000" w:themeColor="text1"/>
                <w14:textFill>
                  <w14:solidFill>
                    <w14:schemeClr w14:val="tx1"/>
                  </w14:solidFill>
                </w14:textFill>
              </w:rPr>
              <w:t>（标配</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块）</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8</w:t>
            </w:r>
            <w:r>
              <w:rPr>
                <w:rFonts w:hint="eastAsia"/>
                <w:color w:val="000000" w:themeColor="text1"/>
                <w14:textFill>
                  <w14:solidFill>
                    <w14:schemeClr w14:val="tx1"/>
                  </w14:solidFill>
                </w14:textFill>
              </w:rPr>
              <w:t>、最大搁板数量：</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个</w:t>
            </w:r>
            <w:r>
              <w:rPr>
                <w:rFonts w:hint="eastAsia"/>
                <w:color w:val="000000" w:themeColor="text1"/>
                <w14:textFill>
                  <w14:solidFill>
                    <w14:schemeClr w14:val="tx1"/>
                  </w14:solidFill>
                </w14:textFill>
              </w:rPr>
              <w:br w:type="textWrapping"/>
            </w:r>
            <w:r>
              <w:rPr>
                <w:color w:val="000000" w:themeColor="text1"/>
                <w14:textFill>
                  <w14:solidFill>
                    <w14:schemeClr w14:val="tx1"/>
                  </w14:solidFill>
                </w14:textFill>
              </w:rPr>
              <w:t>9</w:t>
            </w:r>
            <w:r>
              <w:rPr>
                <w:rFonts w:hint="eastAsia"/>
                <w:color w:val="000000" w:themeColor="text1"/>
                <w14:textFill>
                  <w14:solidFill>
                    <w14:schemeClr w14:val="tx1"/>
                  </w14:solidFill>
                </w14:textFill>
              </w:rPr>
              <w:t>、搁板间距：</w:t>
            </w:r>
            <w:r>
              <w:rPr>
                <w:color w:val="000000" w:themeColor="text1"/>
                <w14:textFill>
                  <w14:solidFill>
                    <w14:schemeClr w14:val="tx1"/>
                  </w14:solidFill>
                </w14:textFill>
              </w:rPr>
              <w:t>50mm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数显电热</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恒温水浴锅</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1、容积：8.5L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2、加热功率：1000W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3、电源电压： 220V50Hz</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4、控温范围：室温+10-100℃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5、温度波动度：±1℃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6、工作室尺寸（mm）：325×325×80</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恒温恒湿环境测试箱</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设备技术参数：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1、温度 ：调节范围：（10～70）℃  (正常运行)</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调节精度：±0.5℃</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显示精度： 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2、湿度：调节范围：（45～80）%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调节精度：±3%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显示精度： 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3、测试舱内背景浓度及送风浓度：甲醛本底浓度＜0.006mg/m3 ， TVOC本底浓度＜0.02mg/m³。单项VOC本底浓度＜0.002mg/m3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4、空气置换率：调节范围：0.2m3～1m3/h(换气率0.2～1次/小时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调节精度：通风量± 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测量精度：±0.01 m3/h</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5、密闭性：在1kPa正压（表压）时，舱内空气泄漏率&lt;0.001m³/min；</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6、气流组织：舱内空气流速(0.1～0.3)m/s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根据空气动力学原理设计挡风罩与管路，在挡风罩后加装导风槽，确保送风均匀；采用多点变频调速技术，确保舱内空气混合均匀，其均匀度满足舱内温度在设计最低点时无结露现象。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显示精度：±0.01m/s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控制精度：0.05m/s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7、回收率：回收率大于80%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8、结 构：隔层式结构：环境舱内胆测试有效容积1m3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9、内胆及气路材质：测试舱、管道及配件(如阀门、接头、循环风机等)内壁采用镜面不锈钢；密封材料：采用无污染散发、无吸附材料。</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10、保温箱体：外壁为钢板，白色喷涂；内壁：304镜面不锈钢板，保温性能优良</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11、测控系统：采用7寸进口高分辨率智能触摸屏控制器，PLC编程，可以通过触摸屏来设置气候箱温度、湿度、空气置换率、工作时间，气体流量等参数；界面设计简单直观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12、平衡时间：试验舱的各项试验条件在设备启动后1h内达到平衡。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产品配置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一、箱体材质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1、内箱材质：SUS3042B高级镜面不锈钢板；</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2、外箱材质：冷轧钢板静电喷塑，颜色为青白；</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3、保温材质：高性能保温纤维，保温层厚度为100mm；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二、循环系统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1、多翼式合金风机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2、空气循环方式：上下循环通风</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三、 电控分析系统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1、控制器：PLC模块式7寸触摸式可编程控制器，彩色液晶显示，数据直读，使用更方便。</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2、控制方式：定值/编程</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3、控温仪规格： 温度：±0.1℃；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湿度：±1～2％</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R.H解析度：±0.01℃。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4、湿度传感器：芬兰原装进口湿度传感器；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5、温度传感器：高精度PT100测试传感器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6、风速传感器：进口高精度风速感应传感器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7、压力传感器：进口高精度压力传感器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四、温湿度控制系统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*1、压缩机：全进口全封闭制冷压缩机组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2、冷媒：杜邦R-134A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3、冷凝器：风冷鳍片式、套管式冷凝器，专业设计配制。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4、蒸发器：鳍片式多段式冷却，制冷更稳定。</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5、加 热 器：特制不锈钢鳍片式散热器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6、加  湿 器：日本进口陶瓷涂层加湿管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7、水位控制：高品质电子液位控制器，电子式自动补水；</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8、存水装置：内置式固定不锈钢水箱供水；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9、供水方式：泵式控制，电磁阀控制。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10、空气置换装置：多层膜及活性炭干燥过滤器过滤，保证供气品质。尺寸1m*1m*1m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*生产厂家出具针对本项目的专项授权书、售后服务承诺书。</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甲醛标样</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水中甲醛溶液标准物质 20mL;1000μg/mL</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瓶</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TVOC标样</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GSB07-1986-2005（3）、甲醇中9种TVOCs混合-空气质量监测标准溶液 1.2mL/支，1000mg/l ：  1支</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GSB07-1986-2005（1）、   甲醇中9种TVOCs混合-空气质量监测标准溶液 1.2mL/支：1支</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GSB07-1986-2005（2） 甲醇中9种TVOCs混合-空气质量监测标准溶液 1.2mL/支：1支</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氨标样</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50mL;1000μg/mL（以氨计）</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瓶</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样品箱</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酚试剂</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5g 高纯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瓶</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空盒气压表</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平原型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盘式研磨机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主要用于中等硬度矿石及水泥熟料的粉碎。</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1、盘磨直径：φ175mm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2、给料粒度：≤4mm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3、出料粒度：0.15mm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4、生产率：25kg/h</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5、电源功率：380V、50Hz、1.1KW</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6、净重：90kg</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通风橱</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规格尺寸：1800*800*2350mm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实验工作台</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钢木结构，规格尺寸：1000*750*800mm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张</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紫外可见分光光度计</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功能要求：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1.采用7英寸彩色触摸液晶显示器，操作灵活方便。</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2.采用比例双光束光路结构，并配置高性能“闪耀全息光栅”的低杂散光高分辨率的单色器, 具有出众的光学精度、测量准确性、重现性和稳定性。</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3.具有独特的自动调整“0”调整“100”，自动8孔样品架。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4.具有全波段扫描、分波段扫描、动力学时间扫描、GOTOλ、线性回归、浓度直读、峰谷检测等各种高级功。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5.具有USB接口，可直接与PC机交互，强化了仪器的检测数据、扫描图谱等处理功能，实现了测试文档的海量储存，也为用户二次开发提供了便利。</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6.先进的断电保护措施，可记忆测试数据、扫描图谱、回归方程以及仪器修正值等，实现了开机快速初始化进入测试状态。</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7.采用高能量的长寿命法兰盘定位氘灯。当仪器氘灯必须更换时，只要卸装两枚法兰盘定位螺丝，即可保证灯源处于最佳位置，无须繁琐的光路调整。</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主要技术参数：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1.测光方式：比例双光速</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2.单色器：Czerny-Tumer</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3.焦距：160mm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4.光栅：1200线/mm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5.检测器：光电池</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6.光谱带宽：2nm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7.波长设定：触控屏输入</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8.波长范围：190nm～1100nm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9.波长准确度：±0.5nm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10.波长重复性：≤0.2nm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11.波长扫描速度: 快、中、慢</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12.光源切换波长：340nm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13.杂散光：≤0.05%（T）(在220nm处，以NaI测定) (在360nm处，以NaNO2)测定)</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14.光度范围：0.0～200.0%T;-0.301-4.000A; 0.000-9999c</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15.光度准确度：±0.3%T ; ±0.002Abs（0-0.5A）; ±0.004Abs（0.5-1A）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16.光度重复性：≤0.15%T</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±0.001Abs（0-0.5A）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±0.002Abs（0.5-1A）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17.基线平直度：≤±0.002A(200nm～1090nm)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18.噪声：0.15%T</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19.基线漂移：±0.0009A/0.5h（开机2h后，250nm和500nm处）</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双气路恒流</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大气采样仪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功能要求：</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满足《民用建筑工程室内环境污染控制规范》（GB50325-2010年版）对采样的要求，提高了采样泵的稳定性，在加有较大负载（接入TENAX吸附管、活性炭采样管）的情况下，在规范要求的流量范围内，仍可精确显示真实采样流量，不会出现显示流量虚高的现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主要技术参数：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1.在使用要求的环境条件范围内，均显示标准状态（温度：0℃，大气压：101.3Kpa）下的流量，无需测量环境温度，大气压来对采样体积进行修正</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2.采用高精度电子流量器件替代浮子流量计，实现采样流量实时数字显示，同传统浮子流量计相比，大大提高了采样的精度，减小了采样误差和人为观测误差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3.抗负载能力：在500ml/min流量下，能克服25Kpa的阻力</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4.能适合国内多种阻力不同的Tenax吸附管和活性炭吸附管后的采样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5.两采样通道可独立设定采样流量和采样时间，自动调节采样流量，并保持采样过程中流量恒定</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6.交直流两用，适应不同的采样场合</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甲醛分析仪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采用美国进口INTEASCAN高灵敏甲醛电化学传感器和中央处理器组成，其灵敏度大于扩散性传感器的20-200倍，对于检测室内环境中低浓度甲醛气体非常敏感，它可以检测室内空气非常低的挥发性游漓甲醛。 </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采用3800mA大容量锂离子可充电电池，操作方便，可广泛用于室内环境检测，室内环境治理，环保装饰装修，化工场所，科研教学中甲醛检测专用设备。                                    技术参数：</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检测原理：进口电化学传感器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检测方式：泵吸式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显示方式：直读数码液晶显示</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检测范围：0.00-19.99ppm（高精度建议不超过5ppm)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分 辨 率： 0.01ppm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响应时间： 10S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零点漂移：±1%FS</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电   源 ： DC8.4V ，3800mA</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外形尺寸：178 x 102 x 225 mm</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特点：</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1、标准的ppm显示单位</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2、在污染环境中也可以进行回零</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3、电化学传感器长寿命、高灵敏、无需注水维护</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4、B-TEST可以检测提醒传感器的使用寿命</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5、独特的二电极传感器设计，无需独立电池供电</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6、采用DC8.4V，3800mA大容量锂离子可充电电池</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7、采用美国进口INTEASCAN传感器和中央处理器，国内组装，方便维修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8、完全可以替代美国4160-2型甲醛分析仪</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9、已获批外观专利证书                                                                标准配置：</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主机1台、便携背包1个、背带1个、C-12过滤器1个、连接软管1个、采样手柄1个、充电器1个、工具1个、铝制箱1个、说明书1本、合格证1个。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卡尔费休水分测定仪</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测量范围: 0.001 % – 100 % 含水量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水份滴定重复性： ≤0.01</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水份滴定的线性相关系数: ≥0.998</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分辨率: 0.01ml</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滴定管标称总容量: 20 ml</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恒温磁力搅拌器</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大型气泡吸收管</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10ml</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支</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全钢实验边台</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1、柜体采用1.0mm厚镀锌钢板，柜体表面环氧树脂粉末静电喷涂，高温固化，附着力高，耐划，耐酸碱，美观耐用。 2、配件滑轨16寸DTC三节专用滑轨，静音顺滑。合页采用DTC牌铰链，115度打开。调整脚采用直径φ8mm，着地部分外六角尼龙，总高为25mm，可调高度为15mm。拉手一字型与门一体，折弯液压而成。</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3、台面12.7mm厚实芯理化板（国产）</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空调</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类别               立柜式</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匹数               2匹</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制冷量（W）        5100(1100-6100)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制冷功率（W）      1650（360-2400）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制热量（W）        6800（1100-7200）</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制热功率（W）      2350（365-2633）</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适用面积（平方米） 30</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台式电脑</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 CPU:I5-8500-3.0GHZ 三级缓存</w:t>
            </w:r>
            <w:r>
              <w:rPr>
                <w:color w:val="000000" w:themeColor="text1"/>
                <w14:textFill>
                  <w14:solidFill>
                    <w14:schemeClr w14:val="tx1"/>
                  </w14:solidFill>
                </w14:textFill>
              </w:rPr>
              <w:t>9M</w:t>
            </w:r>
            <w:r>
              <w:rPr>
                <w:rFonts w:hint="eastAsia"/>
                <w:color w:val="000000" w:themeColor="text1"/>
                <w14:textFill>
                  <w14:solidFill>
                    <w14:schemeClr w14:val="tx1"/>
                  </w14:solidFill>
                </w14:textFill>
              </w:rPr>
              <w:t>酷睿八代六核心。</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 内存：</w:t>
            </w:r>
            <w:r>
              <w:rPr>
                <w:color w:val="000000" w:themeColor="text1"/>
                <w14:textFill>
                  <w14:solidFill>
                    <w14:schemeClr w14:val="tx1"/>
                  </w14:solidFill>
                </w14:textFill>
              </w:rPr>
              <w:t>8G*2</w:t>
            </w:r>
            <w:r>
              <w:rPr>
                <w:rFonts w:hint="eastAsia"/>
                <w:color w:val="000000" w:themeColor="text1"/>
                <w14:textFill>
                  <w14:solidFill>
                    <w14:schemeClr w14:val="tx1"/>
                  </w14:solidFill>
                </w14:textFill>
              </w:rPr>
              <w:t xml:space="preserve">条 </w:t>
            </w:r>
            <w:r>
              <w:rPr>
                <w:color w:val="000000" w:themeColor="text1"/>
                <w14:textFill>
                  <w14:solidFill>
                    <w14:schemeClr w14:val="tx1"/>
                  </w14:solidFill>
                </w14:textFill>
              </w:rPr>
              <w:t>DDR4 2133</w:t>
            </w:r>
            <w:r>
              <w:rPr>
                <w:rFonts w:hint="eastAsia"/>
                <w:color w:val="000000" w:themeColor="text1"/>
                <w14:textFill>
                  <w14:solidFill>
                    <w14:schemeClr w14:val="tx1"/>
                  </w14:solidFill>
                </w14:textFill>
              </w:rPr>
              <w:t>。</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 硬盘：</w:t>
            </w:r>
            <w:r>
              <w:rPr>
                <w:color w:val="000000" w:themeColor="text1"/>
                <w14:textFill>
                  <w14:solidFill>
                    <w14:schemeClr w14:val="tx1"/>
                  </w14:solidFill>
                </w14:textFill>
              </w:rPr>
              <w:t>1T 7.2K</w:t>
            </w:r>
            <w:r>
              <w:rPr>
                <w:rFonts w:hint="eastAsia"/>
                <w:color w:val="000000" w:themeColor="text1"/>
                <w14:textFill>
                  <w14:solidFill>
                    <w14:schemeClr w14:val="tx1"/>
                  </w14:solidFill>
                </w14:textFill>
              </w:rPr>
              <w:t>机械</w:t>
            </w:r>
            <w:r>
              <w:rPr>
                <w:color w:val="000000" w:themeColor="text1"/>
                <w14:textFill>
                  <w14:solidFill>
                    <w14:schemeClr w14:val="tx1"/>
                  </w14:solidFill>
                </w14:textFill>
              </w:rPr>
              <w:t>+120G m2</w:t>
            </w:r>
            <w:r>
              <w:rPr>
                <w:rFonts w:hint="eastAsia"/>
                <w:color w:val="000000" w:themeColor="text1"/>
                <w14:textFill>
                  <w14:solidFill>
                    <w14:schemeClr w14:val="tx1"/>
                  </w14:solidFill>
                </w14:textFill>
              </w:rPr>
              <w:t>固态硬盘。</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 显卡：</w:t>
            </w:r>
            <w:r>
              <w:rPr>
                <w:color w:val="000000" w:themeColor="text1"/>
                <w14:textFill>
                  <w14:solidFill>
                    <w14:schemeClr w14:val="tx1"/>
                  </w14:solidFill>
                </w14:textFill>
              </w:rPr>
              <w:t>2G</w:t>
            </w:r>
            <w:r>
              <w:rPr>
                <w:rFonts w:hint="eastAsia"/>
                <w:color w:val="000000" w:themeColor="text1"/>
                <w14:textFill>
                  <w14:solidFill>
                    <w14:schemeClr w14:val="tx1"/>
                  </w14:solidFill>
                </w14:textFill>
              </w:rPr>
              <w:t>独立显卡。</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 千兆网卡</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 电源：290W；（电源铭牌与主机同品牌；后置电源诊断灯（不启动检查电源）</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 可扩展性：2个PCI，1个PCI-E×1，1个PCI-E×16。</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 接口：4 个 3.0 端口和 4 个 2.0 端口， 1 个 HDMI端口， 1 个 VGA 端口,2 个PS2 接口，1个m.2接口。</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 键鼠：USB键鼠</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 网络同传管理标准：全图形界面，支持鼠标操作；安装分区功能：BIOS集成，原厂预安装，支持多系统安装；多还原方式支持；支持FAT16/FAT32/NTFS文件系统的自动清除功能；</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保护功能： 支持立即还原/增量克隆；备份复原； CMOS保护功能；网络功能：支持板载网卡、可由任意一台主机发起网络拷贝、增量拷贝和临时部署； 对网络克隆，增量克隆和临时增量部署提供支持； 立即还原型操作系统； 临时增量部署功能；支持为多个系统分配不同的IP； 6秒内的物理掉线(断路)可恢复； 支持IPV6；辅助功能：支持分区拷贝、IO控制、本机硬盘复制、指定启动盘、隐藏启动选单、定制软件界面、操作系统中文显示和软件显示；可选资产管理选项；</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 机箱：17.3L</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 服务：三年硬件上门服务。</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 显示器：</w:t>
            </w:r>
            <w:r>
              <w:rPr>
                <w:color w:val="000000" w:themeColor="text1"/>
                <w14:textFill>
                  <w14:solidFill>
                    <w14:schemeClr w14:val="tx1"/>
                  </w14:solidFill>
                </w14:textFill>
              </w:rPr>
              <w:t>23.8</w:t>
            </w:r>
            <w:r>
              <w:rPr>
                <w:rFonts w:hint="eastAsia"/>
                <w:color w:val="000000" w:themeColor="text1"/>
                <w14:textFill>
                  <w14:solidFill>
                    <w14:schemeClr w14:val="tx1"/>
                  </w14:solidFill>
                </w14:textFill>
              </w:rPr>
              <w:t>寸，</w:t>
            </w:r>
            <w:r>
              <w:rPr>
                <w:color w:val="000000" w:themeColor="text1"/>
                <w14:textFill>
                  <w14:solidFill>
                    <w14:schemeClr w14:val="tx1"/>
                  </w14:solidFill>
                </w14:textFill>
              </w:rPr>
              <w:t>IPS</w:t>
            </w:r>
            <w:r>
              <w:rPr>
                <w:rFonts w:hint="eastAsia"/>
                <w:color w:val="000000" w:themeColor="text1"/>
                <w14:textFill>
                  <w14:solidFill>
                    <w14:schemeClr w14:val="tx1"/>
                  </w14:solidFill>
                </w14:textFill>
              </w:rPr>
              <w:t>屏</w:t>
            </w:r>
            <w:r>
              <w:rPr>
                <w:color w:val="000000" w:themeColor="text1"/>
                <w14:textFill>
                  <w14:solidFill>
                    <w14:schemeClr w14:val="tx1"/>
                  </w14:solidFill>
                </w14:textFill>
              </w:rPr>
              <w:t>,1920*1080</w:t>
            </w:r>
            <w:r>
              <w:rPr>
                <w:rFonts w:hint="eastAsia"/>
                <w:color w:val="000000" w:themeColor="text1"/>
                <w14:textFill>
                  <w14:solidFill>
                    <w14:schemeClr w14:val="tx1"/>
                  </w14:solidFill>
                </w14:textFill>
              </w:rPr>
              <w:t>分辨率</w:t>
            </w:r>
            <w:r>
              <w:rPr>
                <w:color w:val="000000" w:themeColor="text1"/>
                <w14:textFill>
                  <w14:solidFill>
                    <w14:schemeClr w14:val="tx1"/>
                  </w14:solidFill>
                </w14:textFill>
              </w:rPr>
              <w:t>,16:9</w:t>
            </w:r>
            <w:r>
              <w:rPr>
                <w:rFonts w:hint="eastAsia"/>
                <w:color w:val="000000" w:themeColor="text1"/>
                <w14:textFill>
                  <w14:solidFill>
                    <w14:schemeClr w14:val="tx1"/>
                  </w14:solidFill>
                </w14:textFill>
              </w:rPr>
              <w:t>。</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投影机</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1.成像技术</w:t>
            </w:r>
            <w:r>
              <w:rPr>
                <w:color w:val="000000" w:themeColor="text1"/>
                <w14:textFill>
                  <w14:solidFill>
                    <w14:schemeClr w14:val="tx1"/>
                  </w14:solidFill>
                </w14:textFill>
              </w:rPr>
              <w:t>:3LCD</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2.芯片尺寸</w:t>
            </w:r>
            <w:r>
              <w:rPr>
                <w:color w:val="000000" w:themeColor="text1"/>
                <w14:textFill>
                  <w14:solidFill>
                    <w14:schemeClr w14:val="tx1"/>
                  </w14:solidFill>
                </w14:textFill>
              </w:rPr>
              <w:t>:0.63''</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3.分辨率</w:t>
            </w:r>
            <w:r>
              <w:rPr>
                <w:color w:val="000000" w:themeColor="text1"/>
                <w14:textFill>
                  <w14:solidFill>
                    <w14:schemeClr w14:val="tx1"/>
                  </w14:solidFill>
                </w14:textFill>
              </w:rPr>
              <w:t>:1024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768</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4.亮度</w:t>
            </w:r>
            <w:r>
              <w:rPr>
                <w:color w:val="000000" w:themeColor="text1"/>
                <w14:textFill>
                  <w14:solidFill>
                    <w14:schemeClr w14:val="tx1"/>
                  </w14:solidFill>
                </w14:textFill>
              </w:rPr>
              <w:t>:5800</w:t>
            </w:r>
            <w:r>
              <w:rPr>
                <w:rFonts w:hint="eastAsia"/>
                <w:color w:val="000000" w:themeColor="text1"/>
                <w14:textFill>
                  <w14:solidFill>
                    <w14:schemeClr w14:val="tx1"/>
                  </w14:solidFill>
                </w14:textFill>
              </w:rPr>
              <w:t>流明</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5.均匀度</w:t>
            </w:r>
            <w:r>
              <w:rPr>
                <w:color w:val="000000" w:themeColor="text1"/>
                <w14:textFill>
                  <w14:solidFill>
                    <w14:schemeClr w14:val="tx1"/>
                  </w14:solidFill>
                </w14:textFill>
              </w:rPr>
              <w:t>:90%</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6.对比度</w:t>
            </w:r>
            <w:r>
              <w:rPr>
                <w:color w:val="000000" w:themeColor="text1"/>
                <w14:textFill>
                  <w14:solidFill>
                    <w14:schemeClr w14:val="tx1"/>
                  </w14:solidFill>
                </w14:textFill>
              </w:rPr>
              <w:t>:10000:1</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7.灯泡功率</w:t>
            </w:r>
            <w:r>
              <w:rPr>
                <w:color w:val="000000" w:themeColor="text1"/>
                <w14:textFill>
                  <w14:solidFill>
                    <w14:schemeClr w14:val="tx1"/>
                  </w14:solidFill>
                </w14:textFill>
              </w:rPr>
              <w:t>:300W</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8.寿命</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标准模式</w:t>
            </w:r>
            <w:r>
              <w:rPr>
                <w:color w:val="000000" w:themeColor="text1"/>
                <w14:textFill>
                  <w14:solidFill>
                    <w14:schemeClr w14:val="tx1"/>
                  </w14:solidFill>
                </w14:textFill>
              </w:rPr>
              <w:t>4000h</w:t>
            </w:r>
            <w:r>
              <w:rPr>
                <w:rFonts w:hint="eastAsia"/>
                <w:color w:val="000000" w:themeColor="text1"/>
                <w14:textFill>
                  <w14:solidFill>
                    <w14:schemeClr w14:val="tx1"/>
                  </w14:solidFill>
                </w14:textFill>
              </w:rPr>
              <w:t>；节能模式</w:t>
            </w:r>
            <w:r>
              <w:rPr>
                <w:color w:val="000000" w:themeColor="text1"/>
                <w14:textFill>
                  <w14:solidFill>
                    <w14:schemeClr w14:val="tx1"/>
                  </w14:solidFill>
                </w14:textFill>
              </w:rPr>
              <w:t>:6000</w:t>
            </w:r>
            <w:r>
              <w:rPr>
                <w:rFonts w:hint="eastAsia"/>
                <w:color w:val="000000" w:themeColor="text1"/>
                <w14:textFill>
                  <w14:solidFill>
                    <w14:schemeClr w14:val="tx1"/>
                  </w14:solidFill>
                </w14:textFill>
              </w:rPr>
              <w:t>小时</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9.投射比</w:t>
            </w:r>
            <w:r>
              <w:rPr>
                <w:color w:val="000000" w:themeColor="text1"/>
                <w14:textFill>
                  <w14:solidFill>
                    <w14:schemeClr w14:val="tx1"/>
                  </w14:solidFill>
                </w14:textFill>
              </w:rPr>
              <w:t>:1.4-2.3</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10.镜头调节类型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手动变焦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聚集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位移</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11.镜头位移</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垂直</w:t>
            </w:r>
            <w:r>
              <w:rPr>
                <w:color w:val="000000" w:themeColor="text1"/>
                <w14:textFill>
                  <w14:solidFill>
                    <w14:schemeClr w14:val="tx1"/>
                  </w14:solidFill>
                </w14:textFill>
              </w:rPr>
              <w:t>0-50%</w:t>
            </w:r>
            <w:r>
              <w:rPr>
                <w:rFonts w:hint="eastAsia"/>
                <w:color w:val="000000" w:themeColor="text1"/>
                <w14:textFill>
                  <w14:solidFill>
                    <w14:schemeClr w14:val="tx1"/>
                  </w14:solidFill>
                </w14:textFill>
              </w:rPr>
              <w:t>，水平±</w:t>
            </w:r>
            <w:r>
              <w:rPr>
                <w:color w:val="000000" w:themeColor="text1"/>
                <w14:textFill>
                  <w14:solidFill>
                    <w14:schemeClr w14:val="tx1"/>
                  </w14:solidFill>
                </w14:textFill>
              </w:rPr>
              <w:t>5%</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12.扫描频率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水平</w:t>
            </w:r>
            <w:r>
              <w:rPr>
                <w:color w:val="000000" w:themeColor="text1"/>
                <w14:textFill>
                  <w14:solidFill>
                    <w14:schemeClr w14:val="tx1"/>
                  </w14:solidFill>
                </w14:textFill>
              </w:rPr>
              <w:t>31.5k-106kHz</w:t>
            </w:r>
            <w:r>
              <w:rPr>
                <w:rFonts w:hint="eastAsia"/>
                <w:color w:val="000000" w:themeColor="text1"/>
                <w14:textFill>
                  <w14:solidFill>
                    <w14:schemeClr w14:val="tx1"/>
                  </w14:solidFill>
                </w14:textFill>
              </w:rPr>
              <w:t>，垂直</w:t>
            </w:r>
            <w:r>
              <w:rPr>
                <w:color w:val="000000" w:themeColor="text1"/>
                <w14:textFill>
                  <w14:solidFill>
                    <w14:schemeClr w14:val="tx1"/>
                  </w14:solidFill>
                </w14:textFill>
              </w:rPr>
              <w:t>56-120MHz</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13.输入端口</w:t>
            </w:r>
            <w:r>
              <w:rPr>
                <w:color w:val="000000" w:themeColor="text1"/>
                <w14:textFill>
                  <w14:solidFill>
                    <w14:schemeClr w14:val="tx1"/>
                  </w14:solidFill>
                </w14:textFill>
              </w:rPr>
              <w:t>:15-pinMini-Dsubx1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HDMI</w:t>
            </w:r>
            <w:r>
              <w:rPr>
                <w:rFonts w:hint="eastAsia"/>
                <w:color w:val="000000" w:themeColor="text1"/>
                <w14:textFill>
                  <w14:solidFill>
                    <w14:schemeClr w14:val="tx1"/>
                  </w14:solidFill>
                </w14:textFill>
              </w:rPr>
              <w:t>（兼容</w:t>
            </w:r>
            <w:r>
              <w:rPr>
                <w:color w:val="000000" w:themeColor="text1"/>
                <w14:textFill>
                  <w14:solidFill>
                    <w14:schemeClr w14:val="tx1"/>
                  </w14:solidFill>
                </w14:textFill>
              </w:rPr>
              <w:t>HDCP</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x2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HDMI1</w:t>
            </w:r>
            <w:r>
              <w:rPr>
                <w:rFonts w:hint="eastAsia"/>
                <w:color w:val="000000" w:themeColor="text1"/>
                <w14:textFill>
                  <w14:solidFill>
                    <w14:schemeClr w14:val="tx1"/>
                  </w14:solidFill>
                </w14:textFill>
              </w:rPr>
              <w:t>支持</w:t>
            </w:r>
            <w:r>
              <w:rPr>
                <w:color w:val="000000" w:themeColor="text1"/>
                <w14:textFill>
                  <w14:solidFill>
                    <w14:schemeClr w14:val="tx1"/>
                  </w14:solidFill>
                </w14:textFill>
              </w:rPr>
              <w:t>MHL</w:t>
            </w:r>
            <w:r>
              <w:rPr>
                <w:rFonts w:hint="eastAsia"/>
                <w:color w:val="000000" w:themeColor="text1"/>
                <w14:textFill>
                  <w14:solidFill>
                    <w14:schemeClr w14:val="tx1"/>
                  </w14:solidFill>
                </w14:textFill>
              </w:rPr>
              <w:t>输入），</w:t>
            </w:r>
            <w:r>
              <w:rPr>
                <w:color w:val="000000" w:themeColor="text1"/>
                <w14:textFill>
                  <w14:solidFill>
                    <w14:schemeClr w14:val="tx1"/>
                  </w14:solidFill>
                </w14:textFill>
              </w:rPr>
              <w:t>RCAx1,3.5</w:t>
            </w:r>
            <w:r>
              <w:rPr>
                <w:rFonts w:hint="eastAsia"/>
                <w:color w:val="000000" w:themeColor="text1"/>
                <w14:textFill>
                  <w14:solidFill>
                    <w14:schemeClr w14:val="tx1"/>
                  </w14:solidFill>
                </w14:textFill>
              </w:rPr>
              <w:t>毫米立体声端口</w:t>
            </w:r>
            <w:r>
              <w:rPr>
                <w:color w:val="000000" w:themeColor="text1"/>
                <w14:textFill>
                  <w14:solidFill>
                    <w14:schemeClr w14:val="tx1"/>
                  </w14:solidFill>
                </w14:textFill>
              </w:rPr>
              <w:t>x1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RCAx2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L/R</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毫米立体声端口</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（输入或输出）、</w:t>
            </w:r>
            <w:r>
              <w:rPr>
                <w:color w:val="000000" w:themeColor="text1"/>
                <w14:textFill>
                  <w14:solidFill>
                    <w14:schemeClr w14:val="tx1"/>
                  </w14:solidFill>
                </w14:textFill>
              </w:rPr>
              <w:t>USB-A*1</w:t>
            </w:r>
            <w:r>
              <w:rPr>
                <w:rFonts w:hint="eastAsia"/>
                <w:color w:val="000000" w:themeColor="text1"/>
                <w14:textFill>
                  <w14:solidFill>
                    <w14:schemeClr w14:val="tx1"/>
                  </w14:solidFill>
                </w14:textFill>
              </w:rPr>
              <w:t>（用于选购的</w:t>
            </w:r>
            <w:r>
              <w:rPr>
                <w:color w:val="000000" w:themeColor="text1"/>
                <w14:textFill>
                  <w14:solidFill>
                    <w14:schemeClr w14:val="tx1"/>
                  </w14:solidFill>
                </w14:textFill>
              </w:rPr>
              <w:t>USB</w:t>
            </w:r>
            <w:r>
              <w:rPr>
                <w:rFonts w:hint="eastAsia"/>
                <w:color w:val="000000" w:themeColor="text1"/>
                <w14:textFill>
                  <w14:solidFill>
                    <w14:schemeClr w14:val="tx1"/>
                  </w14:solidFill>
                </w14:textFill>
              </w:rPr>
              <w:t>无线适配器）、</w:t>
            </w:r>
            <w:r>
              <w:rPr>
                <w:color w:val="000000" w:themeColor="text1"/>
                <w14:textFill>
                  <w14:solidFill>
                    <w14:schemeClr w14:val="tx1"/>
                  </w14:solidFill>
                </w14:textFill>
              </w:rPr>
              <w:t>RJ45*1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D-sub9pin*1</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14.输出端口</w:t>
            </w:r>
            <w:r>
              <w:rPr>
                <w:color w:val="000000" w:themeColor="text1"/>
                <w14:textFill>
                  <w14:solidFill>
                    <w14:schemeClr w14:val="tx1"/>
                  </w14:solidFill>
                </w14:textFill>
              </w:rPr>
              <w:t>:15-pinMini-Dsub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HDMI</w:t>
            </w:r>
            <w:r>
              <w:rPr>
                <w:rFonts w:hint="eastAsia"/>
                <w:color w:val="000000" w:themeColor="text1"/>
                <w14:textFill>
                  <w14:solidFill>
                    <w14:schemeClr w14:val="tx1"/>
                  </w14:solidFill>
                </w14:textFill>
              </w:rPr>
              <w:t>（兼容</w:t>
            </w:r>
            <w:r>
              <w:rPr>
                <w:color w:val="000000" w:themeColor="text1"/>
                <w14:textFill>
                  <w14:solidFill>
                    <w14:schemeClr w14:val="tx1"/>
                  </w14:solidFill>
                </w14:textFill>
              </w:rPr>
              <w:t>HDCP</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x1,3.5</w:t>
            </w:r>
            <w:r>
              <w:rPr>
                <w:rFonts w:hint="eastAsia"/>
                <w:color w:val="000000" w:themeColor="text1"/>
                <w14:textFill>
                  <w14:solidFill>
                    <w14:schemeClr w14:val="tx1"/>
                  </w14:solidFill>
                </w14:textFill>
              </w:rPr>
              <w:t>毫米立体声端口</w:t>
            </w:r>
            <w:r>
              <w:rPr>
                <w:color w:val="000000" w:themeColor="text1"/>
                <w14:textFill>
                  <w14:solidFill>
                    <w14:schemeClr w14:val="tx1"/>
                  </w14:solidFill>
                </w14:textFill>
              </w:rPr>
              <w:t>x2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毫米立体声端口</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（输入或输出）、</w:t>
            </w:r>
            <w:r>
              <w:rPr>
                <w:color w:val="000000" w:themeColor="text1"/>
                <w14:textFill>
                  <w14:solidFill>
                    <w14:schemeClr w14:val="tx1"/>
                  </w14:solidFill>
                </w14:textFill>
              </w:rPr>
              <w:t>USB-A*1</w:t>
            </w:r>
            <w:r>
              <w:rPr>
                <w:rFonts w:hint="eastAsia"/>
                <w:color w:val="000000" w:themeColor="text1"/>
                <w14:textFill>
                  <w14:solidFill>
                    <w14:schemeClr w14:val="tx1"/>
                  </w14:solidFill>
                </w14:textFill>
              </w:rPr>
              <w:t>（用于选购的</w:t>
            </w:r>
            <w:r>
              <w:rPr>
                <w:color w:val="000000" w:themeColor="text1"/>
                <w14:textFill>
                  <w14:solidFill>
                    <w14:schemeClr w14:val="tx1"/>
                  </w14:solidFill>
                </w14:textFill>
              </w:rPr>
              <w:t>USB</w:t>
            </w:r>
            <w:r>
              <w:rPr>
                <w:rFonts w:hint="eastAsia"/>
                <w:color w:val="000000" w:themeColor="text1"/>
                <w14:textFill>
                  <w14:solidFill>
                    <w14:schemeClr w14:val="tx1"/>
                  </w14:solidFill>
                </w14:textFill>
              </w:rPr>
              <w:t>无线适配器）、</w:t>
            </w:r>
            <w:r>
              <w:rPr>
                <w:color w:val="000000" w:themeColor="text1"/>
                <w14:textFill>
                  <w14:solidFill>
                    <w14:schemeClr w14:val="tx1"/>
                  </w14:solidFill>
                </w14:textFill>
              </w:rPr>
              <w:t>RJ45*1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D-sub9pin*1</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15.电源规格</w:t>
            </w:r>
            <w:r>
              <w:rPr>
                <w:color w:val="000000" w:themeColor="text1"/>
                <w14:textFill>
                  <w14:solidFill>
                    <w14:schemeClr w14:val="tx1"/>
                  </w14:solidFill>
                </w14:textFill>
              </w:rPr>
              <w:t>:100-240V</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AC</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50/60HZ</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16.整机功率</w:t>
            </w:r>
            <w:r>
              <w:rPr>
                <w:color w:val="000000" w:themeColor="text1"/>
                <w14:textFill>
                  <w14:solidFill>
                    <w14:schemeClr w14:val="tx1"/>
                  </w14:solidFill>
                </w14:textFill>
              </w:rPr>
              <w:t>:AC100V-120V440W,AC220V-240V420W</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17.尺寸</w:t>
            </w:r>
            <w:r>
              <w:rPr>
                <w:color w:val="000000" w:themeColor="text1"/>
                <w14:textFill>
                  <w14:solidFill>
                    <w14:schemeClr w14:val="tx1"/>
                  </w14:solidFill>
                </w14:textFill>
              </w:rPr>
              <w:t>:460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334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138</w:t>
            </w:r>
            <w:r>
              <w:rPr>
                <w:rFonts w:hint="eastAsia"/>
                <w:color w:val="000000" w:themeColor="text1"/>
                <w14:textFill>
                  <w14:solidFill>
                    <w14:schemeClr w14:val="tx1"/>
                  </w14:solidFill>
                </w14:textFill>
              </w:rPr>
              <w:t>（不含突起部分）</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18.重量</w:t>
            </w:r>
            <w:r>
              <w:rPr>
                <w:color w:val="000000" w:themeColor="text1"/>
                <w14:textFill>
                  <w14:solidFill>
                    <w14:schemeClr w14:val="tx1"/>
                  </w14:solidFill>
                </w14:textFill>
              </w:rPr>
              <w:t>:6.8KG(</w:t>
            </w:r>
            <w:r>
              <w:rPr>
                <w:rFonts w:hint="eastAsia"/>
                <w:color w:val="000000" w:themeColor="text1"/>
                <w14:textFill>
                  <w14:solidFill>
                    <w14:schemeClr w14:val="tx1"/>
                  </w14:solidFill>
                </w14:textFill>
              </w:rPr>
              <w:t>不含镜头</w:t>
            </w:r>
            <w:r>
              <w:rPr>
                <w:color w:val="000000" w:themeColor="text1"/>
                <w14:textFill>
                  <w14:solidFill>
                    <w14:schemeClr w14:val="tx1"/>
                  </w14:solidFill>
                </w14:textFill>
              </w:rPr>
              <w:t>)</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19.工作温度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正常模式</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℃；省电模式</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~40</w:t>
            </w:r>
            <w:r>
              <w:rPr>
                <w:rFonts w:hint="eastAsia"/>
                <w:color w:val="000000" w:themeColor="text1"/>
                <w14:textFill>
                  <w14:solidFill>
                    <w14:schemeClr w14:val="tx1"/>
                  </w14:solidFill>
                </w14:textFill>
              </w:rPr>
              <w:t>℃</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20.工作湿度</w:t>
            </w:r>
            <w:r>
              <w:rPr>
                <w:color w:val="000000" w:themeColor="text1"/>
                <w14:textFill>
                  <w14:solidFill>
                    <w14:schemeClr w14:val="tx1"/>
                  </w14:solidFill>
                </w14:textFill>
              </w:rPr>
              <w:t>:10%~85%RH</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21.特点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新一代无极配向膜液晶板设计，色温“自定义”调节，</w:t>
            </w:r>
            <w:r>
              <w:rPr>
                <w:color w:val="000000" w:themeColor="text1"/>
                <w14:textFill>
                  <w14:solidFill>
                    <w14:schemeClr w14:val="tx1"/>
                  </w14:solidFill>
                </w14:textFill>
              </w:rPr>
              <w:t>Accentualizer</w:t>
            </w:r>
            <w:r>
              <w:rPr>
                <w:rFonts w:hint="eastAsia"/>
                <w:color w:val="000000" w:themeColor="text1"/>
                <w14:textFill>
                  <w14:solidFill>
                    <w14:schemeClr w14:val="tx1"/>
                  </w14:solidFill>
                </w14:textFill>
              </w:rPr>
              <w:t>（图像分明处理器），</w:t>
            </w:r>
            <w:r>
              <w:rPr>
                <w:color w:val="000000" w:themeColor="text1"/>
                <w14:textFill>
                  <w14:solidFill>
                    <w14:schemeClr w14:val="tx1"/>
                  </w14:solidFill>
                </w14:textFill>
              </w:rPr>
              <w:t>WUXGA</w:t>
            </w:r>
            <w:r>
              <w:rPr>
                <w:rFonts w:hint="eastAsia"/>
                <w:color w:val="000000" w:themeColor="text1"/>
                <w14:textFill>
                  <w14:solidFill>
                    <w14:schemeClr w14:val="tx1"/>
                  </w14:solidFill>
                </w14:textFill>
              </w:rPr>
              <w:t>高清，</w:t>
            </w:r>
            <w:r>
              <w:rPr>
                <w:color w:val="000000" w:themeColor="text1"/>
                <w14:textFill>
                  <w14:solidFill>
                    <w14:schemeClr w14:val="tx1"/>
                  </w14:solidFill>
                </w14:textFill>
              </w:rPr>
              <w:t>HDCR</w:t>
            </w:r>
            <w:r>
              <w:rPr>
                <w:rFonts w:hint="eastAsia"/>
                <w:color w:val="000000" w:themeColor="text1"/>
                <w14:textFill>
                  <w14:solidFill>
                    <w14:schemeClr w14:val="tx1"/>
                  </w14:solidFill>
                </w14:textFill>
              </w:rPr>
              <w:t>引擎，图像优化，视频降噪功能，</w:t>
            </w:r>
            <w:r>
              <w:rPr>
                <w:color w:val="000000" w:themeColor="text1"/>
                <w14:textFill>
                  <w14:solidFill>
                    <w14:schemeClr w14:val="tx1"/>
                  </w14:solidFill>
                </w14:textFill>
              </w:rPr>
              <w:t>DICOM</w:t>
            </w:r>
            <w:r>
              <w:rPr>
                <w:rFonts w:hint="eastAsia"/>
                <w:color w:val="000000" w:themeColor="text1"/>
                <w14:textFill>
                  <w14:solidFill>
                    <w14:schemeClr w14:val="tx1"/>
                  </w14:solidFill>
                </w14:textFill>
              </w:rPr>
              <w:t>模式，画中画和双画面功能，及时堆叠功能，镜头位移，边缘融合，易维护边角校正功能.</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22.安装服务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包含施工和辅材的所有费用.</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23.保修 一年</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(投影机配套</w:t>
            </w:r>
            <w:r>
              <w:rPr>
                <w:color w:val="000000" w:themeColor="text1"/>
                <w14:textFill>
                  <w14:solidFill>
                    <w14:schemeClr w14:val="tx1"/>
                  </w14:solidFill>
                </w14:textFill>
              </w:rPr>
              <w:t>)</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1.CPU：</w:t>
            </w:r>
            <w:r>
              <w:rPr>
                <w:color w:val="000000" w:themeColor="text1"/>
                <w14:textFill>
                  <w14:solidFill>
                    <w14:schemeClr w14:val="tx1"/>
                  </w14:solidFill>
                </w14:textFill>
              </w:rPr>
              <w:t>Intel I5-</w:t>
            </w:r>
            <w:r>
              <w:rPr>
                <w:rFonts w:hint="eastAsia"/>
                <w:color w:val="000000" w:themeColor="text1"/>
                <w14:textFill>
                  <w14:solidFill>
                    <w14:schemeClr w14:val="tx1"/>
                  </w14:solidFill>
                </w14:textFill>
              </w:rPr>
              <w:t>8500</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2.内存：</w:t>
            </w:r>
            <w:r>
              <w:rPr>
                <w:color w:val="000000" w:themeColor="text1"/>
                <w14:textFill>
                  <w14:solidFill>
                    <w14:schemeClr w14:val="tx1"/>
                  </w14:solidFill>
                </w14:textFill>
              </w:rPr>
              <w:t>8GB</w:t>
            </w:r>
            <w:r>
              <w:rPr>
                <w:rFonts w:hint="eastAsia"/>
                <w:color w:val="000000" w:themeColor="text1"/>
                <w14:textFill>
                  <w14:solidFill>
                    <w14:schemeClr w14:val="tx1"/>
                  </w14:solidFill>
                </w14:textFill>
              </w:rPr>
              <w:t xml:space="preserve"> DDR4 ,插槽数量</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个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3.硬盘容量：</w:t>
            </w:r>
            <w:r>
              <w:rPr>
                <w:color w:val="000000" w:themeColor="text1"/>
                <w14:textFill>
                  <w14:solidFill>
                    <w14:schemeClr w14:val="tx1"/>
                  </w14:solidFill>
                </w14:textFill>
              </w:rPr>
              <w:t>1TB</w:t>
            </w:r>
            <w:r>
              <w:rPr>
                <w:rFonts w:hint="eastAsia"/>
                <w:color w:val="000000" w:themeColor="text1"/>
                <w14:textFill>
                  <w14:solidFill>
                    <w14:schemeClr w14:val="tx1"/>
                  </w14:solidFill>
                </w14:textFill>
              </w:rPr>
              <w:t>机械硬盘+120G M2固态</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4.机械硬盘转速：</w:t>
            </w:r>
            <w:r>
              <w:rPr>
                <w:color w:val="000000" w:themeColor="text1"/>
                <w14:textFill>
                  <w14:solidFill>
                    <w14:schemeClr w14:val="tx1"/>
                  </w14:solidFill>
                </w14:textFill>
              </w:rPr>
              <w:t>7200</w:t>
            </w:r>
            <w:r>
              <w:rPr>
                <w:rFonts w:hint="eastAsia"/>
                <w:color w:val="000000" w:themeColor="text1"/>
                <w14:textFill>
                  <w14:solidFill>
                    <w14:schemeClr w14:val="tx1"/>
                  </w14:solidFill>
                </w14:textFill>
              </w:rPr>
              <w:t>转</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分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5.显卡类型：独立显卡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6.显存容量：</w:t>
            </w:r>
            <w:r>
              <w:rPr>
                <w:color w:val="000000" w:themeColor="text1"/>
                <w14:textFill>
                  <w14:solidFill>
                    <w14:schemeClr w14:val="tx1"/>
                  </w14:solidFill>
                </w14:textFill>
              </w:rPr>
              <w:t>2GB</w:t>
            </w:r>
            <w:r>
              <w:rPr>
                <w:rFonts w:hint="eastAsia"/>
                <w:color w:val="000000" w:themeColor="text1"/>
                <w14:textFill>
                  <w14:solidFill>
                    <w14:schemeClr w14:val="tx1"/>
                  </w14:solidFill>
                </w14:textFill>
              </w:rPr>
              <w:t xml:space="preserve">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7.显示器分辨率：</w:t>
            </w:r>
            <w:r>
              <w:rPr>
                <w:color w:val="000000" w:themeColor="text1"/>
                <w14:textFill>
                  <w14:solidFill>
                    <w14:schemeClr w14:val="tx1"/>
                  </w14:solidFill>
                </w14:textFill>
              </w:rPr>
              <w:t>1920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1080</w:t>
            </w:r>
            <w:r>
              <w:rPr>
                <w:rFonts w:hint="eastAsia"/>
                <w:color w:val="000000" w:themeColor="text1"/>
                <w14:textFill>
                  <w14:solidFill>
                    <w14:schemeClr w14:val="tx1"/>
                  </w14:solidFill>
                </w14:textFill>
              </w:rPr>
              <w:t xml:space="preserve">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8.显示比例：</w:t>
            </w:r>
            <w:r>
              <w:rPr>
                <w:color w:val="000000" w:themeColor="text1"/>
                <w14:textFill>
                  <w14:solidFill>
                    <w14:schemeClr w14:val="tx1"/>
                  </w14:solidFill>
                </w14:textFill>
              </w:rPr>
              <w:t>16:9</w:t>
            </w:r>
            <w:r>
              <w:rPr>
                <w:rFonts w:hint="eastAsia"/>
                <w:color w:val="000000" w:themeColor="text1"/>
                <w14:textFill>
                  <w14:solidFill>
                    <w14:schemeClr w14:val="tx1"/>
                  </w14:solidFill>
                </w14:textFill>
              </w:rPr>
              <w:t xml:space="preserve">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9.显示器尺寸：</w:t>
            </w:r>
            <w:r>
              <w:rPr>
                <w:color w:val="000000" w:themeColor="text1"/>
                <w14:textFill>
                  <w14:solidFill>
                    <w14:schemeClr w14:val="tx1"/>
                  </w14:solidFill>
                </w14:textFill>
              </w:rPr>
              <w:t>21.5</w:t>
            </w:r>
            <w:r>
              <w:rPr>
                <w:rFonts w:hint="eastAsia"/>
                <w:color w:val="000000" w:themeColor="text1"/>
                <w14:textFill>
                  <w14:solidFill>
                    <w14:schemeClr w14:val="tx1"/>
                  </w14:solidFill>
                </w14:textFill>
              </w:rPr>
              <w:t xml:space="preserve">英寸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10.视频端口：</w:t>
            </w:r>
            <w:r>
              <w:rPr>
                <w:color w:val="000000" w:themeColor="text1"/>
                <w14:textFill>
                  <w14:solidFill>
                    <w14:schemeClr w14:val="tx1"/>
                  </w14:solidFill>
                </w14:textFill>
              </w:rPr>
              <w:t>HDMI,VGA</w:t>
            </w:r>
            <w:r>
              <w:rPr>
                <w:rFonts w:hint="eastAsia"/>
                <w:color w:val="000000" w:themeColor="text1"/>
                <w14:textFill>
                  <w14:solidFill>
                    <w14:schemeClr w14:val="tx1"/>
                  </w14:solidFill>
                </w14:textFill>
              </w:rPr>
              <w:t xml:space="preserve">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11.音频端口：耳机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麦克风二合一接口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12.USB2.0端口：</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个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13.USB3.0端口：4个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14.保修 三年</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150寸投影幕布</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制图教室投影仪配套使用，主要参数：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型号：</w:t>
            </w:r>
            <w:r>
              <w:rPr>
                <w:color w:val="000000" w:themeColor="text1"/>
                <w14:textFill>
                  <w14:solidFill>
                    <w14:schemeClr w14:val="tx1"/>
                  </w14:solidFill>
                </w14:textFill>
              </w:rPr>
              <w:t>150</w:t>
            </w:r>
            <w:r>
              <w:rPr>
                <w:rFonts w:hint="eastAsia"/>
                <w:color w:val="000000" w:themeColor="text1"/>
                <w14:textFill>
                  <w14:solidFill>
                    <w14:schemeClr w14:val="tx1"/>
                  </w14:solidFill>
                </w14:textFill>
              </w:rPr>
              <w:t>英寸</w:t>
            </w:r>
            <w:r>
              <w:rPr>
                <w:color w:val="000000" w:themeColor="text1"/>
                <w14:textFill>
                  <w14:solidFill>
                    <w14:schemeClr w14:val="tx1"/>
                  </w14:solidFill>
                </w14:textFill>
              </w:rPr>
              <w:t>16</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白塑电动幕</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颜色：白色</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材质：白塑</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重量（</w:t>
            </w:r>
            <w:r>
              <w:rPr>
                <w:color w:val="000000" w:themeColor="text1"/>
                <w14:textFill>
                  <w14:solidFill>
                    <w14:schemeClr w14:val="tx1"/>
                  </w14:solidFill>
                </w14:textFill>
              </w:rPr>
              <w:t>kg</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22</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幕布类别：电动</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幕布比例：</w:t>
            </w:r>
            <w:r>
              <w:rPr>
                <w:color w:val="000000" w:themeColor="text1"/>
                <w14:textFill>
                  <w14:solidFill>
                    <w14:schemeClr w14:val="tx1"/>
                  </w14:solidFill>
                </w14:textFill>
              </w:rPr>
              <w:t>16:9</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幕布尺寸（英寸）：</w:t>
            </w:r>
            <w:r>
              <w:rPr>
                <w:color w:val="000000" w:themeColor="text1"/>
                <w14:textFill>
                  <w14:solidFill>
                    <w14:schemeClr w14:val="tx1"/>
                  </w14:solidFill>
                </w14:textFill>
              </w:rPr>
              <w:t>150</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线材长度（</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打印机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自动双面</w:t>
            </w:r>
            <w:r>
              <w:rPr>
                <w:color w:val="000000" w:themeColor="text1"/>
                <w14:textFill>
                  <w14:solidFill>
                    <w14:schemeClr w14:val="tx1"/>
                  </w14:solidFill>
                </w14:textFill>
              </w:rPr>
              <w:t>)</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1.型号 </w:t>
            </w:r>
            <w:r>
              <w:rPr>
                <w:color w:val="000000" w:themeColor="text1"/>
                <w14:textFill>
                  <w14:solidFill>
                    <w14:schemeClr w14:val="tx1"/>
                  </w14:solidFill>
                </w14:textFill>
              </w:rPr>
              <w:t>M202d</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2.类型 激光打印机</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3.幅面 </w:t>
            </w:r>
            <w:r>
              <w:rPr>
                <w:color w:val="000000" w:themeColor="text1"/>
                <w14:textFill>
                  <w14:solidFill>
                    <w14:schemeClr w14:val="tx1"/>
                  </w14:solidFill>
                </w14:textFill>
              </w:rPr>
              <w:t xml:space="preserve">A4 </w:t>
            </w:r>
            <w:r>
              <w:rPr>
                <w:rFonts w:hint="eastAsia"/>
                <w:color w:val="000000" w:themeColor="text1"/>
                <w14:textFill>
                  <w14:solidFill>
                    <w14:schemeClr w14:val="tx1"/>
                  </w14:solidFill>
                </w14:textFill>
              </w:rPr>
              <w:t>幅面</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4.打印机类型 黑白激光打印机</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最高分辨率 黑白</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最佳</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：分辨率高达</w:t>
            </w:r>
            <w:r>
              <w:rPr>
                <w:color w:val="000000" w:themeColor="text1"/>
                <w14:textFill>
                  <w14:solidFill>
                    <w14:schemeClr w14:val="tx1"/>
                  </w14:solidFill>
                </w14:textFill>
              </w:rPr>
              <w:t>600x600x2dpi(1200dpi</w:t>
            </w:r>
            <w:r>
              <w:rPr>
                <w:rFonts w:hint="eastAsia"/>
                <w:color w:val="000000" w:themeColor="text1"/>
                <w14:textFill>
                  <w14:solidFill>
                    <w14:schemeClr w14:val="tx1"/>
                  </w14:solidFill>
                </w14:textFill>
              </w:rPr>
              <w:t>有效输出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；黑色</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正常模式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：高达</w:t>
            </w:r>
            <w:r>
              <w:rPr>
                <w:color w:val="000000" w:themeColor="text1"/>
                <w14:textFill>
                  <w14:solidFill>
                    <w14:schemeClr w14:val="tx1"/>
                  </w14:solidFill>
                </w14:textFill>
              </w:rPr>
              <w:t>4800x600dpi</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5.打印速度</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黑白</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正常模式，</w:t>
            </w:r>
            <w:r>
              <w:rPr>
                <w:color w:val="000000" w:themeColor="text1"/>
                <w14:textFill>
                  <w14:solidFill>
                    <w14:schemeClr w14:val="tx1"/>
                  </w14:solidFill>
                </w14:textFill>
              </w:rPr>
              <w:t>A4)</w:t>
            </w:r>
            <w:r>
              <w:rPr>
                <w:rFonts w:hint="eastAsia"/>
                <w:color w:val="000000" w:themeColor="text1"/>
                <w14:textFill>
                  <w14:solidFill>
                    <w14:schemeClr w14:val="tx1"/>
                  </w14:solidFill>
                </w14:textFill>
              </w:rPr>
              <w:t>：高达</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分钟；黑白</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正常模式，</w:t>
            </w:r>
            <w:r>
              <w:rPr>
                <w:color w:val="000000" w:themeColor="text1"/>
                <w14:textFill>
                  <w14:solidFill>
                    <w14:schemeClr w14:val="tx1"/>
                  </w14:solidFill>
                </w14:textFill>
              </w:rPr>
              <w:t>letter)</w:t>
            </w:r>
            <w:r>
              <w:rPr>
                <w:rFonts w:hint="eastAsia"/>
                <w:color w:val="000000" w:themeColor="text1"/>
                <w14:textFill>
                  <w14:solidFill>
                    <w14:schemeClr w14:val="tx1"/>
                  </w14:solidFill>
                </w14:textFill>
              </w:rPr>
              <w:t>：高达</w:t>
            </w:r>
            <w:r>
              <w:rPr>
                <w:color w:val="000000" w:themeColor="text1"/>
                <w14:textFill>
                  <w14:solidFill>
                    <w14:schemeClr w14:val="tx1"/>
                  </w14:solidFill>
                </w14:textFill>
              </w:rPr>
              <w:t>26</w:t>
            </w:r>
            <w:r>
              <w:rPr>
                <w:rFonts w:hint="eastAsia"/>
                <w:color w:val="000000" w:themeColor="text1"/>
                <w14:textFill>
                  <w14:solidFill>
                    <w14:schemeClr w14:val="tx1"/>
                  </w14:solidFill>
                </w14:textFill>
              </w:rPr>
              <w:t>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分钟；黑白双面</w:t>
            </w:r>
            <w:r>
              <w:rPr>
                <w:color w:val="000000" w:themeColor="text1"/>
                <w14:textFill>
                  <w14:solidFill>
                    <w14:schemeClr w14:val="tx1"/>
                  </w14:solidFill>
                </w14:textFill>
              </w:rPr>
              <w:t>(A4)</w:t>
            </w:r>
            <w:r>
              <w:rPr>
                <w:rFonts w:hint="eastAsia"/>
                <w:color w:val="000000" w:themeColor="text1"/>
                <w14:textFill>
                  <w14:solidFill>
                    <w14:schemeClr w14:val="tx1"/>
                  </w14:solidFill>
                </w14:textFill>
              </w:rPr>
              <w:t xml:space="preserve">：高达 </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面</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分钟；黑白双面</w:t>
            </w:r>
            <w:r>
              <w:rPr>
                <w:color w:val="000000" w:themeColor="text1"/>
                <w14:textFill>
                  <w14:solidFill>
                    <w14:schemeClr w14:val="tx1"/>
                  </w14:solidFill>
                </w14:textFill>
              </w:rPr>
              <w:t>(Letter)</w:t>
            </w:r>
            <w:r>
              <w:rPr>
                <w:rFonts w:hint="eastAsia"/>
                <w:color w:val="000000" w:themeColor="text1"/>
                <w14:textFill>
                  <w14:solidFill>
                    <w14:schemeClr w14:val="tx1"/>
                  </w14:solidFill>
                </w14:textFill>
              </w:rPr>
              <w:t>：高达</w:t>
            </w:r>
            <w:r>
              <w:rPr>
                <w:color w:val="000000" w:themeColor="text1"/>
                <w14:textFill>
                  <w14:solidFill>
                    <w14:schemeClr w14:val="tx1"/>
                  </w14:solidFill>
                </w14:textFill>
              </w:rPr>
              <w:t>16</w:t>
            </w:r>
            <w:r>
              <w:rPr>
                <w:rFonts w:hint="eastAsia"/>
                <w:color w:val="000000" w:themeColor="text1"/>
                <w14:textFill>
                  <w14:solidFill>
                    <w14:schemeClr w14:val="tx1"/>
                  </w14:solidFill>
                </w14:textFill>
              </w:rPr>
              <w:t>面</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分钟</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6.月打印负荷</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高达</w:t>
            </w:r>
            <w:r>
              <w:rPr>
                <w:color w:val="000000" w:themeColor="text1"/>
                <w14:textFill>
                  <w14:solidFill>
                    <w14:schemeClr w14:val="tx1"/>
                  </w14:solidFill>
                </w14:textFill>
              </w:rPr>
              <w:t>15,000</w:t>
            </w:r>
            <w:r>
              <w:rPr>
                <w:rFonts w:hint="eastAsia"/>
                <w:color w:val="000000" w:themeColor="text1"/>
                <w14:textFill>
                  <w14:solidFill>
                    <w14:schemeClr w14:val="tx1"/>
                  </w14:solidFill>
                </w14:textFill>
              </w:rPr>
              <w:t>页；推荐的每月打印量</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2000</w:t>
            </w:r>
            <w:r>
              <w:rPr>
                <w:rFonts w:hint="eastAsia"/>
                <w:color w:val="000000" w:themeColor="text1"/>
                <w14:textFill>
                  <w14:solidFill>
                    <w14:schemeClr w14:val="tx1"/>
                  </w14:solidFill>
                </w14:textFill>
              </w:rPr>
              <w:t>页</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7.首页出纸时间</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黑白</w:t>
            </w:r>
            <w:r>
              <w:rPr>
                <w:color w:val="000000" w:themeColor="text1"/>
                <w14:textFill>
                  <w14:solidFill>
                    <w14:schemeClr w14:val="tx1"/>
                  </w14:solidFill>
                </w14:textFill>
              </w:rPr>
              <w:t>(A4</w:t>
            </w:r>
            <w:r>
              <w:rPr>
                <w:rFonts w:hint="eastAsia"/>
                <w:color w:val="000000" w:themeColor="text1"/>
                <w14:textFill>
                  <w14:solidFill>
                    <w14:schemeClr w14:val="tx1"/>
                  </w14:solidFill>
                </w14:textFill>
              </w:rPr>
              <w:t>，就绪模式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秒；黑白</w:t>
            </w:r>
            <w:r>
              <w:rPr>
                <w:color w:val="000000" w:themeColor="text1"/>
                <w14:textFill>
                  <w14:solidFill>
                    <w14:schemeClr w14:val="tx1"/>
                  </w14:solidFill>
                </w14:textFill>
              </w:rPr>
              <w:t>(A4</w:t>
            </w:r>
            <w:r>
              <w:rPr>
                <w:rFonts w:hint="eastAsia"/>
                <w:color w:val="000000" w:themeColor="text1"/>
                <w14:textFill>
                  <w14:solidFill>
                    <w14:schemeClr w14:val="tx1"/>
                  </w14:solidFill>
                </w14:textFill>
              </w:rPr>
              <w:t>，睡眠模式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：仅</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秒</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8.打印介质</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纸张</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激光打印纸、普通纸、相纸、糙纸、羊皮纸</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、信封、标签、卡片、幻灯片、明信片</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9.兼容系统</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Windows 8.1(32和</w:t>
            </w:r>
            <w:r>
              <w:rPr>
                <w:color w:val="000000" w:themeColor="text1"/>
                <w14:textFill>
                  <w14:solidFill>
                    <w14:schemeClr w14:val="tx1"/>
                  </w14:solidFill>
                </w14:textFill>
              </w:rPr>
              <w:t>64</w:t>
            </w:r>
            <w:r>
              <w:rPr>
                <w:rFonts w:hint="eastAsia"/>
                <w:color w:val="000000" w:themeColor="text1"/>
                <w14:textFill>
                  <w14:solidFill>
                    <w14:schemeClr w14:val="tx1"/>
                  </w14:solidFill>
                </w14:textFill>
              </w:rPr>
              <w:t>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Windows 8(32</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64</w:t>
            </w:r>
            <w:r>
              <w:rPr>
                <w:rFonts w:hint="eastAsia"/>
                <w:color w:val="000000" w:themeColor="text1"/>
                <w14:textFill>
                  <w14:solidFill>
                    <w14:schemeClr w14:val="tx1"/>
                  </w14:solidFill>
                </w14:textFill>
              </w:rPr>
              <w:t>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Windows 7(32</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64</w:t>
            </w:r>
            <w:r>
              <w:rPr>
                <w:rFonts w:hint="eastAsia"/>
                <w:color w:val="000000" w:themeColor="text1"/>
                <w14:textFill>
                  <w14:solidFill>
                    <w14:schemeClr w14:val="tx1"/>
                  </w14:solidFill>
                </w14:textFill>
              </w:rPr>
              <w:t>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Windows Vista(32</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64</w:t>
            </w:r>
            <w:r>
              <w:rPr>
                <w:rFonts w:hint="eastAsia"/>
                <w:color w:val="000000" w:themeColor="text1"/>
                <w14:textFill>
                  <w14:solidFill>
                    <w14:schemeClr w14:val="tx1"/>
                  </w14:solidFill>
                </w14:textFill>
              </w:rPr>
              <w:t>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Windows XP(32</w:t>
            </w:r>
            <w:r>
              <w:rPr>
                <w:rFonts w:hint="eastAsia"/>
                <w:color w:val="000000" w:themeColor="text1"/>
                <w14:textFill>
                  <w14:solidFill>
                    <w14:schemeClr w14:val="tx1"/>
                  </w14:solidFill>
                </w14:textFill>
              </w:rPr>
              <w:t>位</w:t>
            </w:r>
            <w:r>
              <w:rPr>
                <w:color w:val="000000" w:themeColor="text1"/>
                <w14:textFill>
                  <w14:solidFill>
                    <w14:schemeClr w14:val="tx1"/>
                  </w14:solidFill>
                </w14:textFill>
              </w:rPr>
              <w:t>)(SP2</w:t>
            </w:r>
            <w:r>
              <w:rPr>
                <w:rFonts w:hint="eastAsia"/>
                <w:color w:val="000000" w:themeColor="text1"/>
                <w14:textFill>
                  <w14:solidFill>
                    <w14:schemeClr w14:val="tx1"/>
                  </w14:solidFill>
                </w14:textFill>
              </w:rPr>
              <w:t>或更高版本</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10.接口</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1个高速</w:t>
            </w:r>
            <w:r>
              <w:rPr>
                <w:color w:val="000000" w:themeColor="text1"/>
                <w14:textFill>
                  <w14:solidFill>
                    <w14:schemeClr w14:val="tx1"/>
                  </w14:solidFill>
                </w14:textFill>
              </w:rPr>
              <w:t>USB 2.0</w:t>
            </w:r>
            <w:r>
              <w:rPr>
                <w:rFonts w:hint="eastAsia"/>
                <w:color w:val="000000" w:themeColor="text1"/>
                <w14:textFill>
                  <w14:solidFill>
                    <w14:schemeClr w14:val="tx1"/>
                  </w14:solidFill>
                </w14:textFill>
              </w:rPr>
              <w:t>端口</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11.电源</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电源类型：内置；电源要求：</w:t>
            </w:r>
            <w:r>
              <w:rPr>
                <w:color w:val="000000" w:themeColor="text1"/>
                <w14:textFill>
                  <w14:solidFill>
                    <w14:schemeClr w14:val="tx1"/>
                  </w14:solidFill>
                </w14:textFill>
              </w:rPr>
              <w:t>220</w:t>
            </w:r>
            <w:r>
              <w:rPr>
                <w:rFonts w:hint="eastAsia"/>
                <w:color w:val="000000" w:themeColor="text1"/>
                <w14:textFill>
                  <w14:solidFill>
                    <w14:schemeClr w14:val="tx1"/>
                  </w14:solidFill>
                </w14:textFill>
              </w:rPr>
              <w:t>伏输入电压：</w:t>
            </w:r>
            <w:r>
              <w:rPr>
                <w:color w:val="000000" w:themeColor="text1"/>
                <w14:textFill>
                  <w14:solidFill>
                    <w14:schemeClr w14:val="tx1"/>
                  </w14:solidFill>
                </w14:textFill>
              </w:rPr>
              <w:t>220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240</w:t>
            </w:r>
            <w:r>
              <w:rPr>
                <w:rFonts w:hint="eastAsia"/>
                <w:color w:val="000000" w:themeColor="text1"/>
                <w14:textFill>
                  <w14:solidFill>
                    <w14:schemeClr w14:val="tx1"/>
                  </w14:solidFill>
                </w14:textFill>
              </w:rPr>
              <w:t>伏交流电</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赫兹</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赫兹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安； 功耗</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450</w:t>
            </w:r>
            <w:r>
              <w:rPr>
                <w:rFonts w:hint="eastAsia"/>
                <w:color w:val="000000" w:themeColor="text1"/>
                <w14:textFill>
                  <w14:solidFill>
                    <w14:schemeClr w14:val="tx1"/>
                  </w14:solidFill>
                </w14:textFill>
              </w:rPr>
              <w:t>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打印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2.2</w:t>
            </w:r>
            <w:r>
              <w:rPr>
                <w:rFonts w:hint="eastAsia"/>
                <w:color w:val="000000" w:themeColor="text1"/>
                <w14:textFill>
                  <w14:solidFill>
                    <w14:schemeClr w14:val="tx1"/>
                  </w14:solidFill>
                </w14:textFill>
              </w:rPr>
              <w:t>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就绪</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0.1</w:t>
            </w:r>
            <w:r>
              <w:rPr>
                <w:rFonts w:hint="eastAsia"/>
                <w:color w:val="000000" w:themeColor="text1"/>
                <w14:textFill>
                  <w14:solidFill>
                    <w14:schemeClr w14:val="tx1"/>
                  </w14:solidFill>
                </w14:textFill>
              </w:rPr>
              <w:t>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自动关机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0.1</w:t>
            </w:r>
            <w:r>
              <w:rPr>
                <w:rFonts w:hint="eastAsia"/>
                <w:color w:val="000000" w:themeColor="text1"/>
                <w14:textFill>
                  <w14:solidFill>
                    <w14:schemeClr w14:val="tx1"/>
                  </w14:solidFill>
                </w14:textFill>
              </w:rPr>
              <w:t>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手动关机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 特征自动双面打印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13.一年质保</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平面绿板</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 材质：版面为烤漆钢板，板芯为聚苯乙烯板，背板为镀锌钢板</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 规格：</w:t>
            </w:r>
            <w:r>
              <w:rPr>
                <w:color w:val="000000" w:themeColor="text1"/>
                <w14:textFill>
                  <w14:solidFill>
                    <w14:schemeClr w14:val="tx1"/>
                  </w14:solidFill>
                </w14:textFill>
              </w:rPr>
              <w:t>3*1.2</w:t>
            </w:r>
            <w:r>
              <w:rPr>
                <w:rFonts w:hint="eastAsia"/>
                <w:color w:val="000000" w:themeColor="text1"/>
                <w14:textFill>
                  <w14:solidFill>
                    <w14:schemeClr w14:val="tx1"/>
                  </w14:solidFill>
                </w14:textFill>
              </w:rPr>
              <w:t>米</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 边框</w:t>
            </w:r>
            <w:r>
              <w:rPr>
                <w:color w:val="000000" w:themeColor="text1"/>
                <w14:textFill>
                  <w14:solidFill>
                    <w14:schemeClr w14:val="tx1"/>
                  </w14:solidFill>
                </w14:textFill>
              </w:rPr>
              <w:t xml:space="preserve">3*1.2m </w:t>
            </w:r>
            <w:r>
              <w:rPr>
                <w:rFonts w:hint="eastAsia"/>
                <w:color w:val="000000" w:themeColor="text1"/>
                <w14:textFill>
                  <w14:solidFill>
                    <w14:schemeClr w14:val="tx1"/>
                  </w14:solidFill>
                </w14:textFill>
              </w:rPr>
              <w:t>平面板为</w:t>
            </w:r>
            <w:r>
              <w:rPr>
                <w:color w:val="000000" w:themeColor="text1"/>
                <w14:textFill>
                  <w14:solidFill>
                    <w14:schemeClr w14:val="tx1"/>
                  </w14:solidFill>
                </w14:textFill>
              </w:rPr>
              <w:t>30*20mm</w:t>
            </w:r>
            <w:r>
              <w:rPr>
                <w:rFonts w:hint="eastAsia"/>
                <w:color w:val="000000" w:themeColor="text1"/>
                <w14:textFill>
                  <w14:solidFill>
                    <w14:schemeClr w14:val="tx1"/>
                  </w14:solidFill>
                </w14:textFill>
              </w:rPr>
              <w:t>青铜哑光铝合金边框</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 特点：书写流畅、易擦无痕、不变形、不打滑、美观大方</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学生桌椅</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板材：采用环保E1级别三聚氰胺板尺寸：宽400*600长*高（670-760可调）mm孔距：共四排孔位，孔距30mm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10000</w:t>
            </w: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办公桌</w:t>
            </w:r>
            <w:bookmarkStart w:id="175" w:name="_GoBack"/>
            <w:bookmarkEnd w:id="175"/>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板材：采用环保</w:t>
            </w:r>
            <w:r>
              <w:rPr>
                <w:color w:val="000000" w:themeColor="text1"/>
                <w14:textFill>
                  <w14:solidFill>
                    <w14:schemeClr w14:val="tx1"/>
                  </w14:solidFill>
                </w14:textFill>
              </w:rPr>
              <w:t>E1</w:t>
            </w:r>
            <w:r>
              <w:rPr>
                <w:rFonts w:hint="eastAsia"/>
                <w:color w:val="000000" w:themeColor="text1"/>
                <w14:textFill>
                  <w14:solidFill>
                    <w14:schemeClr w14:val="tx1"/>
                  </w14:solidFill>
                </w14:textFill>
              </w:rPr>
              <w:t>级别三聚氰胺板尺寸：宽600*1300长*高750mm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旋转椅</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高分子尼龙背筐</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弧形立体撑腰</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人体工学设计</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透气弹力布</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高弹力原生海绵</w:t>
            </w:r>
            <w:r>
              <w:rPr>
                <w:color w:val="000000" w:themeColor="text1"/>
                <w14:textFill>
                  <w14:solidFill>
                    <w14:schemeClr w14:val="tx1"/>
                  </w14:solidFill>
                </w14:textFill>
              </w:rPr>
              <w:t>40</w:t>
            </w:r>
            <w:r>
              <w:rPr>
                <w:rFonts w:hint="eastAsia"/>
                <w:color w:val="000000" w:themeColor="text1"/>
                <w14:textFill>
                  <w14:solidFill>
                    <w14:schemeClr w14:val="tx1"/>
                  </w14:solidFill>
                </w14:textFill>
              </w:rPr>
              <w:t>密度，久坐不塌陷</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断路器空气开关带漏电保护器</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25A符合国家CCC认证标准 双极（2P）</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国标铜芯线单芯单股铜线硬线</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6平方</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20*10pvc墙面明装方形塑料线槽</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宽20mm 高10mm 厚0.55mm材质：PVC</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纯铜芯电线电缆线</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4芯10平方额定电压</w:t>
            </w:r>
            <w:r>
              <w:rPr>
                <w:color w:val="000000" w:themeColor="text1"/>
                <w14:textFill>
                  <w14:solidFill>
                    <w14:schemeClr w14:val="tx1"/>
                  </w14:solidFill>
                </w14:textFill>
              </w:rPr>
              <w:t xml:space="preserve">300/500V </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M</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漏电保护器断路器带空气开关</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符合国家CCC认证标准三极（3P）</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375" w:hRule="atLeast"/>
          <w:jc w:val="center"/>
        </w:trPr>
        <w:tc>
          <w:tcPr>
            <w:tcW w:w="2238" w:type="dxa"/>
            <w:tcBorders>
              <w:top w:val="nil"/>
              <w:left w:val="single" w:color="auto" w:sz="4" w:space="0"/>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五孔明装二三插5眼面板五眼插</w:t>
            </w:r>
          </w:p>
        </w:tc>
        <w:tc>
          <w:tcPr>
            <w:tcW w:w="2406" w:type="dxa"/>
            <w:tcBorders>
              <w:top w:val="single" w:color="auto" w:sz="4" w:space="0"/>
              <w:left w:val="nil"/>
              <w:bottom w:val="single" w:color="auto" w:sz="4" w:space="0"/>
              <w:right w:val="single" w:color="auto" w:sz="4" w:space="0"/>
            </w:tcBorders>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额定电流10A</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w:t>
            </w:r>
          </w:p>
        </w:tc>
        <w:tc>
          <w:tcPr>
            <w:tcW w:w="1558" w:type="dxa"/>
            <w:tcBorders>
              <w:top w:val="single" w:color="auto" w:sz="4" w:space="0"/>
              <w:left w:val="nil"/>
              <w:bottom w:val="single" w:color="auto" w:sz="4" w:space="0"/>
              <w:right w:val="single" w:color="auto" w:sz="4" w:space="0"/>
            </w:tcBorders>
            <w:vAlign w:val="center"/>
          </w:tcPr>
          <w:p>
            <w:pPr>
              <w:rPr>
                <w:color w:val="000000" w:themeColor="text1"/>
                <w14:textFill>
                  <w14:solidFill>
                    <w14:schemeClr w14:val="tx1"/>
                  </w14:solidFill>
                </w14:textFill>
              </w:rPr>
            </w:pPr>
          </w:p>
        </w:tc>
      </w:tr>
    </w:tbl>
    <w:p>
      <w:pPr>
        <w:pStyle w:val="51"/>
        <w:spacing w:line="460" w:lineRule="exact"/>
        <w:ind w:left="559" w:leftChars="266" w:firstLine="0" w:firstLineChars="0"/>
        <w:rPr>
          <w:rFonts w:asciiTheme="minorEastAsia" w:hAnsiTheme="minorEastAsia" w:eastAsiaTheme="minorEastAsia" w:cstheme="minorEastAsia"/>
          <w:sz w:val="28"/>
          <w:szCs w:val="28"/>
        </w:rPr>
      </w:pPr>
    </w:p>
    <w:p>
      <w:pPr>
        <w:pStyle w:val="3"/>
        <w:numPr>
          <w:ilvl w:val="0"/>
          <w:numId w:val="0"/>
        </w:numPr>
        <w:spacing w:before="100" w:after="100" w:line="440" w:lineRule="exact"/>
        <w:ind w:firstLine="2891" w:firstLineChars="800"/>
        <w:jc w:val="both"/>
        <w:rPr>
          <w:rFonts w:hint="eastAsia" w:ascii="宋体" w:hAnsi="宋体" w:cs="Arial"/>
          <w:sz w:val="36"/>
          <w:szCs w:val="36"/>
        </w:rPr>
      </w:pPr>
      <w:bookmarkStart w:id="119" w:name="_Toc4308"/>
      <w:bookmarkStart w:id="120" w:name="_Toc18283_WPSOffice_Level1"/>
      <w:bookmarkStart w:id="121" w:name="_Toc354341642"/>
      <w:r>
        <w:rPr>
          <w:rFonts w:hint="eastAsia" w:ascii="宋体" w:hAnsi="宋体" w:cs="Arial"/>
          <w:sz w:val="36"/>
          <w:szCs w:val="36"/>
        </w:rPr>
        <w:t>第六章</w:t>
      </w:r>
      <w:r>
        <w:rPr>
          <w:rFonts w:hint="eastAsia" w:ascii="宋体" w:hAnsi="宋体" w:cs="Arial"/>
          <w:sz w:val="36"/>
          <w:szCs w:val="36"/>
          <w:lang w:val="en-US" w:eastAsia="zh-CN"/>
        </w:rPr>
        <w:t xml:space="preserve">   </w:t>
      </w:r>
      <w:r>
        <w:rPr>
          <w:rFonts w:hint="eastAsia" w:ascii="宋体" w:hAnsi="宋体" w:cs="Arial"/>
          <w:sz w:val="36"/>
          <w:szCs w:val="36"/>
        </w:rPr>
        <w:t>投标文件格式</w:t>
      </w:r>
      <w:bookmarkEnd w:id="119"/>
      <w:bookmarkEnd w:id="120"/>
      <w:bookmarkEnd w:id="121"/>
    </w:p>
    <w:p/>
    <w:p>
      <w:pPr>
        <w:spacing w:before="312" w:beforeLines="100"/>
        <w:jc w:val="center"/>
        <w:rPr>
          <w:rFonts w:ascii="宋体" w:hAnsi="宋体"/>
          <w:b/>
          <w:sz w:val="36"/>
          <w:szCs w:val="36"/>
          <w:shd w:val="clear" w:color="auto" w:fill="FFFFFF"/>
        </w:rPr>
      </w:pPr>
      <w:bookmarkStart w:id="122" w:name="_Toc5074_WPSOffice_Level1"/>
      <w:r>
        <w:rPr>
          <w:rFonts w:hint="eastAsia" w:ascii="宋体" w:hAnsi="宋体"/>
          <w:b/>
          <w:sz w:val="36"/>
          <w:szCs w:val="36"/>
          <w:shd w:val="clear" w:color="auto" w:fill="FFFFFF"/>
          <w:lang w:eastAsia="zh-CN"/>
        </w:rPr>
        <w:t>河南质量工程职业学院</w:t>
      </w:r>
      <w:r>
        <w:rPr>
          <w:rFonts w:hint="eastAsia" w:ascii="宋体" w:hAnsi="宋体"/>
          <w:b/>
          <w:sz w:val="36"/>
          <w:szCs w:val="36"/>
          <w:shd w:val="clear" w:color="auto" w:fill="FFFFFF"/>
        </w:rPr>
        <w:t>建筑材料检测技术生产性实训基地设备采购项目</w:t>
      </w:r>
    </w:p>
    <w:p>
      <w:pPr>
        <w:pStyle w:val="19"/>
        <w:ind w:firstLine="210"/>
      </w:pPr>
    </w:p>
    <w:bookmarkEnd w:id="122"/>
    <w:p>
      <w:pPr>
        <w:spacing w:before="312" w:beforeLines="100"/>
        <w:jc w:val="center"/>
        <w:rPr>
          <w:rFonts w:ascii="黑体" w:eastAsia="黑体"/>
          <w:sz w:val="30"/>
          <w:szCs w:val="30"/>
        </w:rPr>
      </w:pPr>
      <w:bookmarkStart w:id="123" w:name="_Toc22212_WPSOffice_Level1"/>
      <w:bookmarkStart w:id="124" w:name="_Toc32212_WPSOffice_Level1"/>
      <w:bookmarkStart w:id="125" w:name="_Toc17213_WPSOffice_Level1"/>
      <w:bookmarkStart w:id="126" w:name="_Toc25706_WPSOffice_Level1"/>
      <w:r>
        <w:rPr>
          <w:rFonts w:hint="eastAsia" w:ascii="黑体" w:eastAsia="黑体"/>
          <w:sz w:val="72"/>
          <w:szCs w:val="72"/>
        </w:rPr>
        <w:t>投标文件</w:t>
      </w:r>
      <w:bookmarkEnd w:id="123"/>
      <w:bookmarkEnd w:id="124"/>
      <w:bookmarkEnd w:id="125"/>
      <w:bookmarkEnd w:id="126"/>
    </w:p>
    <w:p>
      <w:pPr>
        <w:jc w:val="center"/>
        <w:rPr>
          <w:rFonts w:ascii="黑体" w:eastAsia="黑体"/>
          <w:sz w:val="30"/>
          <w:szCs w:val="30"/>
        </w:rPr>
      </w:pPr>
    </w:p>
    <w:p>
      <w:pPr>
        <w:shd w:val="solid" w:color="FFFFFF" w:fill="auto"/>
        <w:autoSpaceDN w:val="0"/>
        <w:spacing w:line="440" w:lineRule="exact"/>
        <w:jc w:val="center"/>
        <w:rPr>
          <w:rFonts w:ascii="宋体" w:cs="宋体"/>
          <w:sz w:val="30"/>
          <w:szCs w:val="30"/>
        </w:rPr>
      </w:pPr>
      <w:bookmarkStart w:id="127" w:name="_Toc2931_WPSOffice_Level1"/>
      <w:bookmarkStart w:id="128" w:name="_Toc27624_WPSOffice_Level1"/>
      <w:bookmarkStart w:id="129" w:name="_Toc32077_WPSOffice_Level1"/>
      <w:bookmarkStart w:id="130" w:name="_Toc666_WPSOffice_Level1"/>
      <w:r>
        <w:rPr>
          <w:rFonts w:hint="eastAsia" w:ascii="宋体" w:hAnsi="宋体" w:cs="宋体"/>
          <w:sz w:val="30"/>
          <w:szCs w:val="30"/>
        </w:rPr>
        <w:t>采购编号：</w:t>
      </w:r>
      <w:bookmarkEnd w:id="127"/>
      <w:bookmarkEnd w:id="128"/>
      <w:bookmarkEnd w:id="129"/>
      <w:bookmarkEnd w:id="130"/>
    </w:p>
    <w:p>
      <w:pPr>
        <w:adjustRightInd w:val="0"/>
        <w:snapToGrid w:val="0"/>
        <w:spacing w:line="560" w:lineRule="exact"/>
        <w:jc w:val="center"/>
        <w:rPr>
          <w:rFonts w:ascii="宋体" w:cs="宋体"/>
          <w:sz w:val="30"/>
          <w:szCs w:val="30"/>
        </w:rPr>
      </w:pPr>
    </w:p>
    <w:p>
      <w:pPr>
        <w:jc w:val="center"/>
        <w:rPr>
          <w:rFonts w:ascii="宋体" w:cs="宋体"/>
          <w:sz w:val="30"/>
          <w:szCs w:val="30"/>
        </w:rPr>
      </w:pPr>
    </w:p>
    <w:p>
      <w:pPr>
        <w:rPr>
          <w:rFonts w:ascii="黑体" w:eastAsia="黑体"/>
          <w:sz w:val="24"/>
        </w:rPr>
      </w:pPr>
    </w:p>
    <w:p>
      <w:pPr>
        <w:jc w:val="center"/>
        <w:rPr>
          <w:rFonts w:ascii="黑体" w:eastAsia="黑体"/>
          <w:sz w:val="24"/>
        </w:rPr>
      </w:pPr>
    </w:p>
    <w:p>
      <w:pPr>
        <w:jc w:val="center"/>
        <w:rPr>
          <w:rFonts w:ascii="黑体" w:eastAsia="黑体"/>
          <w:sz w:val="24"/>
        </w:rPr>
      </w:pPr>
    </w:p>
    <w:p>
      <w:pPr>
        <w:spacing w:line="600" w:lineRule="exact"/>
        <w:ind w:right="560"/>
        <w:rPr>
          <w:rFonts w:ascii="黑体" w:eastAsia="黑体"/>
          <w:sz w:val="28"/>
          <w:szCs w:val="28"/>
        </w:rPr>
      </w:pPr>
    </w:p>
    <w:p>
      <w:pPr>
        <w:pStyle w:val="19"/>
        <w:ind w:firstLine="280"/>
        <w:rPr>
          <w:rFonts w:ascii="黑体" w:eastAsia="黑体"/>
          <w:sz w:val="28"/>
          <w:szCs w:val="28"/>
        </w:rPr>
      </w:pPr>
    </w:p>
    <w:p>
      <w:pPr>
        <w:pStyle w:val="19"/>
        <w:ind w:firstLine="280"/>
        <w:rPr>
          <w:rFonts w:ascii="黑体" w:eastAsia="黑体"/>
          <w:sz w:val="28"/>
          <w:szCs w:val="28"/>
        </w:rPr>
      </w:pPr>
    </w:p>
    <w:p>
      <w:pPr>
        <w:pStyle w:val="19"/>
        <w:ind w:firstLine="280"/>
        <w:rPr>
          <w:rFonts w:ascii="黑体" w:eastAsia="黑体"/>
          <w:sz w:val="28"/>
          <w:szCs w:val="28"/>
        </w:rPr>
      </w:pPr>
    </w:p>
    <w:p>
      <w:pPr>
        <w:spacing w:line="600" w:lineRule="exact"/>
        <w:ind w:right="560" w:firstLine="280" w:firstLineChars="100"/>
        <w:jc w:val="left"/>
        <w:rPr>
          <w:rFonts w:ascii="黑体" w:eastAsia="黑体"/>
          <w:sz w:val="28"/>
          <w:szCs w:val="28"/>
        </w:rPr>
      </w:pPr>
      <w:bookmarkStart w:id="131" w:name="_Toc13784_WPSOffice_Level1"/>
      <w:bookmarkStart w:id="132" w:name="_Toc16581_WPSOffice_Level1"/>
      <w:bookmarkStart w:id="133" w:name="_Toc28184_WPSOffice_Level1"/>
      <w:bookmarkStart w:id="134" w:name="_Toc21637_WPSOffice_Level1"/>
      <w:r>
        <w:rPr>
          <w:rFonts w:hint="eastAsia" w:ascii="黑体" w:eastAsia="黑体"/>
          <w:sz w:val="28"/>
          <w:szCs w:val="28"/>
        </w:rPr>
        <w:t>供应商：</w:t>
      </w:r>
      <w:r>
        <w:rPr>
          <w:rFonts w:hint="eastAsia" w:ascii="黑体" w:eastAsia="黑体"/>
          <w:sz w:val="28"/>
          <w:szCs w:val="28"/>
          <w:u w:val="single"/>
        </w:rPr>
        <w:t xml:space="preserve">                            （电子签章）</w:t>
      </w:r>
      <w:bookmarkEnd w:id="131"/>
      <w:bookmarkEnd w:id="132"/>
      <w:bookmarkEnd w:id="133"/>
      <w:bookmarkEnd w:id="134"/>
    </w:p>
    <w:p>
      <w:pPr>
        <w:spacing w:line="600" w:lineRule="exact"/>
        <w:ind w:right="561" w:firstLine="280" w:firstLineChars="100"/>
        <w:jc w:val="left"/>
        <w:rPr>
          <w:rFonts w:ascii="黑体" w:eastAsia="黑体"/>
          <w:sz w:val="28"/>
          <w:szCs w:val="28"/>
        </w:rPr>
      </w:pPr>
      <w:bookmarkStart w:id="135" w:name="_Toc3769_WPSOffice_Level1"/>
      <w:bookmarkStart w:id="136" w:name="_Toc25612_WPSOffice_Level1"/>
      <w:bookmarkStart w:id="137" w:name="_Toc29487_WPSOffice_Level1"/>
      <w:bookmarkStart w:id="138" w:name="_Toc409_WPSOffice_Level1"/>
      <w:r>
        <w:rPr>
          <w:rFonts w:hint="eastAsia" w:ascii="黑体" w:eastAsia="黑体"/>
          <w:sz w:val="28"/>
          <w:szCs w:val="28"/>
        </w:rPr>
        <w:t>法定代表人或其委托代理人：</w:t>
      </w:r>
      <w:r>
        <w:rPr>
          <w:rFonts w:hint="eastAsia" w:ascii="黑体" w:eastAsia="黑体"/>
          <w:sz w:val="28"/>
          <w:szCs w:val="28"/>
          <w:u w:val="single"/>
        </w:rPr>
        <w:t xml:space="preserve">          （电子签章）</w:t>
      </w:r>
      <w:bookmarkEnd w:id="135"/>
      <w:bookmarkEnd w:id="136"/>
      <w:bookmarkEnd w:id="137"/>
      <w:bookmarkEnd w:id="138"/>
    </w:p>
    <w:p>
      <w:pPr>
        <w:jc w:val="center"/>
        <w:rPr>
          <w:rFonts w:ascii="黑体" w:eastAsia="黑体"/>
          <w:sz w:val="28"/>
          <w:szCs w:val="28"/>
        </w:rPr>
      </w:pPr>
      <w:bookmarkStart w:id="139" w:name="_Toc31361_WPSOffice_Level1"/>
      <w:bookmarkStart w:id="140" w:name="_Toc9142_WPSOffice_Level1"/>
      <w:bookmarkStart w:id="141" w:name="_Toc28119_WPSOffice_Level1"/>
      <w:bookmarkStart w:id="142" w:name="_Toc19480_WPSOffice_Level1"/>
      <w:r>
        <w:rPr>
          <w:rFonts w:hint="eastAsia" w:ascii="黑体" w:eastAsia="黑体"/>
          <w:sz w:val="28"/>
          <w:szCs w:val="28"/>
        </w:rPr>
        <w:t>年   月   日</w:t>
      </w:r>
      <w:bookmarkEnd w:id="139"/>
      <w:bookmarkEnd w:id="140"/>
      <w:bookmarkEnd w:id="141"/>
      <w:bookmarkEnd w:id="142"/>
    </w:p>
    <w:p>
      <w:pPr>
        <w:jc w:val="center"/>
        <w:rPr>
          <w:rFonts w:ascii="黑体" w:eastAsia="黑体"/>
          <w:sz w:val="28"/>
          <w:szCs w:val="28"/>
        </w:rPr>
      </w:pPr>
    </w:p>
    <w:p>
      <w:pPr>
        <w:pStyle w:val="19"/>
        <w:ind w:firstLine="210"/>
      </w:pPr>
    </w:p>
    <w:p>
      <w:pPr>
        <w:pStyle w:val="19"/>
        <w:ind w:firstLine="210"/>
      </w:pPr>
    </w:p>
    <w:p>
      <w:pPr>
        <w:pStyle w:val="19"/>
        <w:ind w:firstLine="0" w:firstLineChars="0"/>
      </w:pPr>
    </w:p>
    <w:p>
      <w:pPr>
        <w:pStyle w:val="19"/>
        <w:ind w:firstLine="0" w:firstLineChars="0"/>
      </w:pPr>
    </w:p>
    <w:p>
      <w:pPr>
        <w:jc w:val="center"/>
        <w:rPr>
          <w:rFonts w:ascii="黑体" w:hAnsi="黑体" w:eastAsia="黑体"/>
          <w:sz w:val="36"/>
          <w:szCs w:val="36"/>
        </w:rPr>
      </w:pPr>
      <w:bookmarkStart w:id="143" w:name="_Toc3758_WPSOffice_Level1"/>
      <w:bookmarkStart w:id="144" w:name="_Toc1992_WPSOffice_Level1"/>
      <w:bookmarkStart w:id="145" w:name="_Toc31441_WPSOffice_Level1"/>
      <w:r>
        <w:rPr>
          <w:rFonts w:hint="eastAsia" w:ascii="黑体" w:hAnsi="黑体" w:eastAsia="黑体"/>
          <w:sz w:val="36"/>
          <w:szCs w:val="36"/>
        </w:rPr>
        <w:t>目录</w:t>
      </w:r>
      <w:bookmarkEnd w:id="143"/>
      <w:bookmarkEnd w:id="144"/>
      <w:bookmarkEnd w:id="145"/>
    </w:p>
    <w:p>
      <w:pPr>
        <w:rPr>
          <w:rFonts w:ascii="黑体" w:hAnsi="黑体" w:eastAsia="黑体"/>
          <w:sz w:val="36"/>
          <w:szCs w:val="36"/>
        </w:rPr>
      </w:pPr>
    </w:p>
    <w:p>
      <w:pPr>
        <w:spacing w:line="480" w:lineRule="auto"/>
        <w:ind w:firstLine="480" w:firstLineChars="200"/>
        <w:rPr>
          <w:rFonts w:ascii="宋体"/>
          <w:sz w:val="24"/>
        </w:rPr>
      </w:pPr>
      <w:bookmarkStart w:id="146" w:name="_Toc16178_WPSOffice_Level1"/>
      <w:bookmarkStart w:id="147" w:name="_Toc20145_WPSOffice_Level1"/>
      <w:bookmarkStart w:id="148" w:name="_Toc824_WPSOffice_Level1"/>
      <w:r>
        <w:rPr>
          <w:rFonts w:hint="eastAsia" w:ascii="宋体" w:hAnsi="宋体"/>
          <w:sz w:val="24"/>
        </w:rPr>
        <w:t>一</w:t>
      </w:r>
      <w:r>
        <w:rPr>
          <w:rFonts w:ascii="宋体"/>
          <w:sz w:val="24"/>
        </w:rPr>
        <w:t>.</w:t>
      </w:r>
      <w:r>
        <w:rPr>
          <w:rFonts w:hint="eastAsia" w:ascii="宋体" w:hAnsi="宋体"/>
          <w:sz w:val="24"/>
        </w:rPr>
        <w:t>投标函</w:t>
      </w:r>
      <w:bookmarkEnd w:id="146"/>
      <w:bookmarkEnd w:id="147"/>
      <w:bookmarkEnd w:id="148"/>
    </w:p>
    <w:p>
      <w:pPr>
        <w:spacing w:line="480" w:lineRule="auto"/>
        <w:ind w:firstLine="480" w:firstLineChars="200"/>
        <w:rPr>
          <w:rFonts w:ascii="宋体"/>
          <w:sz w:val="24"/>
        </w:rPr>
      </w:pPr>
      <w:bookmarkStart w:id="149" w:name="_Toc4368_WPSOffice_Level1"/>
      <w:bookmarkStart w:id="150" w:name="_Toc25707_WPSOffice_Level1"/>
      <w:bookmarkStart w:id="151" w:name="_Toc19322_WPSOffice_Level1"/>
      <w:r>
        <w:rPr>
          <w:rFonts w:hint="eastAsia" w:ascii="宋体" w:hAnsi="宋体"/>
          <w:sz w:val="24"/>
        </w:rPr>
        <w:t>二</w:t>
      </w:r>
      <w:r>
        <w:rPr>
          <w:rFonts w:ascii="宋体"/>
          <w:sz w:val="24"/>
        </w:rPr>
        <w:t>.</w:t>
      </w:r>
      <w:r>
        <w:rPr>
          <w:rFonts w:hint="eastAsia" w:ascii="宋体" w:hAnsi="宋体"/>
          <w:sz w:val="24"/>
        </w:rPr>
        <w:t>投标报价一览表</w:t>
      </w:r>
      <w:bookmarkEnd w:id="149"/>
      <w:bookmarkEnd w:id="150"/>
      <w:bookmarkEnd w:id="151"/>
    </w:p>
    <w:p>
      <w:pPr>
        <w:spacing w:line="480" w:lineRule="auto"/>
        <w:ind w:firstLine="480" w:firstLineChars="200"/>
        <w:rPr>
          <w:rFonts w:ascii="宋体" w:cs="Arial"/>
          <w:bCs/>
          <w:sz w:val="24"/>
        </w:rPr>
      </w:pPr>
      <w:bookmarkStart w:id="152" w:name="_Toc2132_WPSOffice_Level1"/>
      <w:bookmarkStart w:id="153" w:name="_Toc16847_WPSOffice_Level1"/>
      <w:bookmarkStart w:id="154" w:name="_Toc32714_WPSOffice_Level1"/>
      <w:r>
        <w:rPr>
          <w:rFonts w:hint="eastAsia" w:ascii="宋体" w:hAnsi="宋体" w:cs="Arial"/>
          <w:bCs/>
          <w:sz w:val="24"/>
        </w:rPr>
        <w:t>三</w:t>
      </w:r>
      <w:r>
        <w:rPr>
          <w:rFonts w:ascii="宋体" w:cs="Arial"/>
          <w:bCs/>
          <w:sz w:val="24"/>
        </w:rPr>
        <w:t>.</w:t>
      </w:r>
      <w:bookmarkEnd w:id="152"/>
      <w:bookmarkEnd w:id="153"/>
      <w:bookmarkEnd w:id="154"/>
      <w:bookmarkStart w:id="155" w:name="_Toc15140_WPSOffice_Level1"/>
      <w:bookmarkStart w:id="156" w:name="_Toc29290_WPSOffice_Level1"/>
      <w:bookmarkStart w:id="157" w:name="_Toc1079_WPSOffice_Level1"/>
      <w:r>
        <w:rPr>
          <w:rFonts w:hint="eastAsia" w:ascii="宋体" w:cs="Arial"/>
          <w:bCs/>
          <w:sz w:val="24"/>
        </w:rPr>
        <w:t>投标产品配置清单报价一览表</w:t>
      </w:r>
    </w:p>
    <w:p>
      <w:pPr>
        <w:spacing w:line="480" w:lineRule="auto"/>
        <w:ind w:firstLine="480" w:firstLineChars="200"/>
        <w:rPr>
          <w:rFonts w:ascii="宋体"/>
          <w:sz w:val="24"/>
        </w:rPr>
      </w:pPr>
      <w:r>
        <w:rPr>
          <w:rFonts w:hint="eastAsia" w:ascii="宋体" w:hAnsi="宋体"/>
          <w:sz w:val="24"/>
        </w:rPr>
        <w:t>四</w:t>
      </w:r>
      <w:r>
        <w:rPr>
          <w:rFonts w:ascii="宋体"/>
          <w:sz w:val="24"/>
        </w:rPr>
        <w:t>.</w:t>
      </w:r>
      <w:r>
        <w:rPr>
          <w:rFonts w:hint="eastAsia" w:ascii="宋体" w:hAnsi="宋体"/>
          <w:sz w:val="24"/>
        </w:rPr>
        <w:t>偏离表</w:t>
      </w:r>
      <w:bookmarkEnd w:id="155"/>
      <w:bookmarkEnd w:id="156"/>
      <w:bookmarkEnd w:id="157"/>
    </w:p>
    <w:p>
      <w:pPr>
        <w:spacing w:line="480" w:lineRule="auto"/>
        <w:ind w:firstLine="480" w:firstLineChars="200"/>
        <w:rPr>
          <w:rFonts w:ascii="宋体"/>
          <w:sz w:val="24"/>
        </w:rPr>
      </w:pPr>
      <w:bookmarkStart w:id="158" w:name="_Toc28360_WPSOffice_Level1"/>
      <w:bookmarkStart w:id="159" w:name="_Toc25351_WPSOffice_Level1"/>
      <w:bookmarkStart w:id="160" w:name="_Toc31565_WPSOffice_Level1"/>
      <w:r>
        <w:rPr>
          <w:rFonts w:hint="eastAsia" w:ascii="宋体" w:hAnsi="宋体"/>
          <w:sz w:val="24"/>
        </w:rPr>
        <w:t>五</w:t>
      </w:r>
      <w:r>
        <w:rPr>
          <w:rFonts w:ascii="宋体"/>
          <w:sz w:val="24"/>
        </w:rPr>
        <w:t>.</w:t>
      </w:r>
      <w:bookmarkEnd w:id="158"/>
      <w:bookmarkEnd w:id="159"/>
      <w:bookmarkEnd w:id="160"/>
      <w:r>
        <w:rPr>
          <w:rFonts w:hint="eastAsia" w:ascii="宋体"/>
          <w:sz w:val="24"/>
        </w:rPr>
        <w:t>售后服务承诺</w:t>
      </w:r>
    </w:p>
    <w:p>
      <w:pPr>
        <w:spacing w:line="480" w:lineRule="auto"/>
        <w:ind w:firstLine="480" w:firstLineChars="200"/>
        <w:rPr>
          <w:rFonts w:ascii="宋体"/>
          <w:sz w:val="24"/>
        </w:rPr>
      </w:pPr>
      <w:bookmarkStart w:id="161" w:name="_Toc26900_WPSOffice_Level1"/>
      <w:bookmarkStart w:id="162" w:name="_Toc13049_WPSOffice_Level1"/>
      <w:bookmarkStart w:id="163" w:name="_Toc5437_WPSOffice_Level1"/>
      <w:r>
        <w:rPr>
          <w:rFonts w:hint="eastAsia" w:ascii="宋体" w:hAnsi="宋体"/>
          <w:sz w:val="24"/>
        </w:rPr>
        <w:t>六</w:t>
      </w:r>
      <w:r>
        <w:rPr>
          <w:rFonts w:ascii="宋体"/>
          <w:sz w:val="24"/>
        </w:rPr>
        <w:t>.</w:t>
      </w:r>
      <w:bookmarkEnd w:id="161"/>
      <w:bookmarkEnd w:id="162"/>
      <w:bookmarkEnd w:id="163"/>
      <w:r>
        <w:rPr>
          <w:rFonts w:hint="eastAsia" w:ascii="宋体"/>
          <w:sz w:val="24"/>
        </w:rPr>
        <w:t>法定代表人身份证明及授权委托书</w:t>
      </w:r>
    </w:p>
    <w:p>
      <w:pPr>
        <w:spacing w:line="480" w:lineRule="auto"/>
        <w:ind w:firstLine="480" w:firstLineChars="200"/>
        <w:rPr>
          <w:rFonts w:ascii="宋体"/>
          <w:sz w:val="24"/>
        </w:rPr>
      </w:pPr>
      <w:bookmarkStart w:id="164" w:name="_Toc23978_WPSOffice_Level1"/>
      <w:bookmarkStart w:id="165" w:name="_Toc29100_WPSOffice_Level1"/>
      <w:bookmarkStart w:id="166" w:name="_Toc18002_WPSOffice_Level1"/>
      <w:r>
        <w:rPr>
          <w:rFonts w:hint="eastAsia" w:ascii="宋体" w:hAnsi="宋体"/>
          <w:sz w:val="24"/>
        </w:rPr>
        <w:t>七</w:t>
      </w:r>
      <w:r>
        <w:rPr>
          <w:rFonts w:ascii="宋体"/>
          <w:sz w:val="24"/>
        </w:rPr>
        <w:t>.</w:t>
      </w:r>
      <w:r>
        <w:rPr>
          <w:rFonts w:hint="eastAsia" w:ascii="宋体"/>
          <w:sz w:val="24"/>
        </w:rPr>
        <w:t>资格审查资料</w:t>
      </w:r>
    </w:p>
    <w:p>
      <w:pPr>
        <w:spacing w:line="480" w:lineRule="auto"/>
        <w:ind w:firstLine="480" w:firstLineChars="200"/>
        <w:rPr>
          <w:rFonts w:ascii="宋体"/>
          <w:sz w:val="24"/>
        </w:rPr>
      </w:pPr>
      <w:r>
        <w:rPr>
          <w:rFonts w:hint="eastAsia" w:ascii="宋体"/>
          <w:sz w:val="24"/>
        </w:rPr>
        <w:t>八．</w:t>
      </w:r>
      <w:r>
        <w:rPr>
          <w:rFonts w:hint="eastAsia" w:ascii="宋体" w:hAnsi="宋体"/>
          <w:sz w:val="24"/>
        </w:rPr>
        <w:t>其它资料</w:t>
      </w:r>
      <w:bookmarkEnd w:id="164"/>
      <w:bookmarkEnd w:id="165"/>
      <w:bookmarkEnd w:id="166"/>
    </w:p>
    <w:p>
      <w:pPr>
        <w:ind w:firstLine="600" w:firstLineChars="200"/>
        <w:rPr>
          <w:rFonts w:ascii="宋体"/>
          <w:sz w:val="30"/>
          <w:szCs w:val="30"/>
        </w:rPr>
      </w:pPr>
    </w:p>
    <w:p>
      <w:pPr>
        <w:spacing w:line="440" w:lineRule="exact"/>
        <w:rPr>
          <w:rFonts w:ascii="宋体"/>
          <w:sz w:val="30"/>
          <w:szCs w:val="30"/>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pStyle w:val="19"/>
        <w:ind w:firstLine="210"/>
      </w:pPr>
    </w:p>
    <w:p>
      <w:pPr>
        <w:jc w:val="center"/>
        <w:rPr>
          <w:rFonts w:ascii="黑体" w:hAnsi="黑体" w:eastAsia="黑体"/>
          <w:b/>
          <w:sz w:val="32"/>
          <w:szCs w:val="32"/>
        </w:rPr>
      </w:pPr>
    </w:p>
    <w:p>
      <w:pPr>
        <w:jc w:val="center"/>
        <w:rPr>
          <w:rFonts w:ascii="黑体" w:hAnsi="黑体" w:eastAsia="黑体"/>
          <w:b/>
          <w:sz w:val="32"/>
          <w:szCs w:val="32"/>
        </w:rPr>
      </w:pPr>
    </w:p>
    <w:p>
      <w:pPr>
        <w:pStyle w:val="19"/>
        <w:ind w:firstLine="0" w:firstLineChars="0"/>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一．投标函</w:t>
      </w:r>
    </w:p>
    <w:p>
      <w:pPr>
        <w:spacing w:line="400" w:lineRule="exact"/>
        <w:rPr>
          <w:rFonts w:ascii="宋体"/>
          <w:b/>
          <w:sz w:val="24"/>
          <w:u w:val="single"/>
        </w:rPr>
      </w:pPr>
      <w:r>
        <w:rPr>
          <w:rFonts w:hint="eastAsia" w:ascii="宋体" w:hAnsi="宋体"/>
          <w:b/>
          <w:sz w:val="24"/>
        </w:rPr>
        <w:t>致：</w:t>
      </w:r>
      <w:r>
        <w:rPr>
          <w:rFonts w:hint="eastAsia" w:ascii="宋体" w:hAnsi="宋体"/>
          <w:b/>
          <w:sz w:val="24"/>
          <w:u w:val="single"/>
        </w:rPr>
        <w:t xml:space="preserve">           （采购人）</w:t>
      </w:r>
    </w:p>
    <w:p>
      <w:pPr>
        <w:pStyle w:val="17"/>
        <w:shd w:val="clear" w:color="auto" w:fill="FFFFFF"/>
        <w:spacing w:beforeAutospacing="0" w:afterAutospacing="0" w:line="400" w:lineRule="exact"/>
        <w:ind w:left="11" w:firstLine="499" w:firstLineChars="208"/>
        <w:rPr>
          <w:rFonts w:ascii="宋体"/>
        </w:rPr>
      </w:pPr>
      <w:r>
        <w:rPr>
          <w:rFonts w:hint="eastAsia" w:ascii="宋体" w:hAnsi="宋体"/>
          <w:szCs w:val="22"/>
        </w:rPr>
        <w:t>我方已仔细研究</w:t>
      </w:r>
      <w:r>
        <w:rPr>
          <w:rFonts w:hint="eastAsia" w:ascii="宋体" w:hAnsi="宋体"/>
          <w:szCs w:val="22"/>
          <w:u w:val="single"/>
        </w:rPr>
        <w:t xml:space="preserve">             （项目名称）</w:t>
      </w:r>
      <w:r>
        <w:rPr>
          <w:rFonts w:hint="eastAsia" w:ascii="宋体" w:hAnsi="宋体"/>
          <w:szCs w:val="22"/>
        </w:rPr>
        <w:t>招标文件的全部内容。综</w:t>
      </w:r>
      <w:r>
        <w:rPr>
          <w:rFonts w:hint="eastAsia" w:ascii="宋体" w:hAnsi="宋体"/>
        </w:rPr>
        <w:t>合项目实际情况并研究该项目招标文件的内容后，针对该项目，我方愿意以大写：</w:t>
      </w:r>
      <w:r>
        <w:rPr>
          <w:rFonts w:hint="eastAsia" w:ascii="宋体" w:hAnsi="宋体"/>
          <w:u w:val="single"/>
        </w:rPr>
        <w:t xml:space="preserve">    </w:t>
      </w:r>
      <w:r>
        <w:rPr>
          <w:rFonts w:hint="eastAsia" w:ascii="宋体" w:hAnsi="宋体"/>
        </w:rPr>
        <w:t>人民币，小写</w:t>
      </w:r>
      <w:r>
        <w:rPr>
          <w:rFonts w:hint="eastAsia" w:ascii="宋体" w:hAnsi="宋体"/>
          <w:u w:val="single"/>
        </w:rPr>
        <w:t xml:space="preserve">        </w:t>
      </w:r>
      <w:r>
        <w:rPr>
          <w:rFonts w:hint="eastAsia" w:ascii="宋体" w:hAnsi="宋体"/>
        </w:rPr>
        <w:t>人民币的投标报价，按招标文件要求供货。签字代表</w:t>
      </w:r>
      <w:r>
        <w:rPr>
          <w:rFonts w:hint="eastAsia" w:ascii="宋体" w:hAnsi="宋体"/>
          <w:u w:val="single"/>
        </w:rPr>
        <w:t>（姓名）</w:t>
      </w:r>
      <w:r>
        <w:rPr>
          <w:rFonts w:hint="eastAsia" w:ascii="宋体" w:hAnsi="宋体"/>
        </w:rPr>
        <w:t>经正式授权并代表供应商</w:t>
      </w:r>
      <w:r>
        <w:rPr>
          <w:rFonts w:hint="eastAsia" w:ascii="宋体" w:hAnsi="宋体"/>
          <w:u w:val="single"/>
        </w:rPr>
        <w:t xml:space="preserve">      （供应商名称）</w:t>
      </w:r>
      <w:r>
        <w:rPr>
          <w:rFonts w:hint="eastAsia" w:ascii="宋体" w:hAnsi="宋体"/>
        </w:rPr>
        <w:t>提交招标文件要求的全套投标文件，包括：</w:t>
      </w:r>
    </w:p>
    <w:p>
      <w:pPr>
        <w:spacing w:line="400" w:lineRule="exact"/>
        <w:ind w:firstLine="480" w:firstLineChars="200"/>
        <w:rPr>
          <w:rFonts w:ascii="宋体"/>
          <w:sz w:val="24"/>
        </w:rPr>
      </w:pPr>
      <w:r>
        <w:rPr>
          <w:rFonts w:ascii="宋体" w:hAnsi="宋体"/>
          <w:sz w:val="24"/>
        </w:rPr>
        <w:t xml:space="preserve">1. </w:t>
      </w:r>
      <w:r>
        <w:rPr>
          <w:rFonts w:hint="eastAsia" w:ascii="宋体" w:hAnsi="宋体"/>
          <w:sz w:val="24"/>
        </w:rPr>
        <w:t>招标文件“投标文件及格式”中要求的投标文件；</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 质量要求：</w:t>
      </w:r>
      <w:r>
        <w:rPr>
          <w:rFonts w:hint="eastAsia" w:ascii="宋体" w:hAnsi="宋体"/>
          <w:u w:val="single"/>
        </w:rPr>
        <w:t xml:space="preserve">        。</w:t>
      </w:r>
    </w:p>
    <w:p>
      <w:pPr>
        <w:pStyle w:val="17"/>
        <w:spacing w:beforeAutospacing="0" w:afterAutospacing="0" w:line="400" w:lineRule="exact"/>
        <w:ind w:firstLine="480" w:firstLineChars="200"/>
        <w:rPr>
          <w:rFonts w:ascii="宋体" w:hAnsi="宋体" w:cs="Times New Roman"/>
          <w:kern w:val="2"/>
          <w:u w:val="single"/>
        </w:rPr>
      </w:pPr>
      <w:r>
        <w:rPr>
          <w:rFonts w:hint="eastAsia" w:ascii="宋体" w:hAnsi="宋体" w:cs="Times New Roman"/>
          <w:kern w:val="2"/>
        </w:rPr>
        <w:t xml:space="preserve">3. 供货期：合同签订后 </w:t>
      </w:r>
      <w:r>
        <w:rPr>
          <w:rFonts w:hint="eastAsia" w:ascii="宋体" w:hAnsi="宋体" w:cs="Times New Roman"/>
          <w:kern w:val="2"/>
          <w:u w:val="single"/>
        </w:rPr>
        <w:t xml:space="preserve">   </w:t>
      </w:r>
      <w:r>
        <w:rPr>
          <w:rFonts w:hint="eastAsia" w:ascii="宋体" w:hAnsi="宋体" w:cs="Times New Roman"/>
          <w:kern w:val="2"/>
        </w:rPr>
        <w:t>日历天。</w:t>
      </w:r>
    </w:p>
    <w:p>
      <w:pPr>
        <w:spacing w:line="400" w:lineRule="exact"/>
        <w:ind w:firstLine="480" w:firstLineChars="200"/>
        <w:rPr>
          <w:rFonts w:ascii="宋体" w:hAnsi="宋体"/>
          <w:sz w:val="24"/>
          <w:u w:val="single"/>
        </w:rPr>
      </w:pPr>
      <w:r>
        <w:rPr>
          <w:rFonts w:hint="eastAsia" w:ascii="宋体" w:hAnsi="宋体"/>
          <w:sz w:val="24"/>
        </w:rPr>
        <w:t>4</w:t>
      </w:r>
      <w:r>
        <w:rPr>
          <w:rFonts w:ascii="宋体" w:hAnsi="宋体"/>
          <w:sz w:val="24"/>
        </w:rPr>
        <w:t>.</w:t>
      </w:r>
      <w:r>
        <w:rPr>
          <w:rFonts w:hint="eastAsia" w:ascii="宋体" w:hAnsi="宋体"/>
          <w:sz w:val="24"/>
        </w:rPr>
        <w:t>其他资料。</w:t>
      </w:r>
    </w:p>
    <w:p>
      <w:pPr>
        <w:pStyle w:val="39"/>
        <w:spacing w:line="400" w:lineRule="exact"/>
        <w:ind w:left="0"/>
        <w:rPr>
          <w:rFonts w:ascii="宋体"/>
          <w:sz w:val="24"/>
          <w:szCs w:val="24"/>
        </w:rPr>
      </w:pPr>
      <w:r>
        <w:rPr>
          <w:rFonts w:hint="eastAsia" w:ascii="宋体" w:hAnsi="宋体"/>
          <w:sz w:val="24"/>
          <w:szCs w:val="24"/>
        </w:rPr>
        <w:t>据此函，签字人宣布同意如下：</w:t>
      </w:r>
    </w:p>
    <w:p>
      <w:pPr>
        <w:spacing w:line="400" w:lineRule="exact"/>
        <w:ind w:firstLine="480" w:firstLineChars="200"/>
        <w:rPr>
          <w:rFonts w:ascii="宋体"/>
          <w:sz w:val="24"/>
        </w:rPr>
      </w:pPr>
      <w:r>
        <w:rPr>
          <w:rFonts w:ascii="宋体" w:hAnsi="宋体"/>
          <w:sz w:val="24"/>
        </w:rPr>
        <w:t xml:space="preserve">1. </w:t>
      </w:r>
      <w:r>
        <w:rPr>
          <w:rFonts w:hint="eastAsia" w:ascii="宋体" w:hAnsi="宋体"/>
          <w:sz w:val="24"/>
        </w:rPr>
        <w:t>我方将按招标文件的规定履行合同责任和义务。</w:t>
      </w:r>
    </w:p>
    <w:p>
      <w:pPr>
        <w:spacing w:line="400" w:lineRule="exact"/>
        <w:ind w:firstLine="480" w:firstLineChars="200"/>
        <w:rPr>
          <w:rFonts w:ascii="宋体"/>
          <w:sz w:val="24"/>
        </w:rPr>
      </w:pPr>
      <w:r>
        <w:rPr>
          <w:rFonts w:ascii="宋体" w:hAnsi="宋体"/>
          <w:sz w:val="24"/>
        </w:rPr>
        <w:t xml:space="preserve">2. </w:t>
      </w:r>
      <w:r>
        <w:rPr>
          <w:rFonts w:hint="eastAsia" w:ascii="宋体" w:hAnsi="宋体"/>
          <w:sz w:val="24"/>
        </w:rPr>
        <w:t>我方已详细审查全部招标文件，包括修改文件（如有）及全部参考资料和附件。我们完全理解并同意放弃对这方面有不明及误解的权力。</w:t>
      </w:r>
    </w:p>
    <w:p>
      <w:pPr>
        <w:spacing w:line="400" w:lineRule="exact"/>
        <w:ind w:firstLine="480" w:firstLineChars="200"/>
        <w:rPr>
          <w:rFonts w:ascii="宋体" w:hAnsi="宋体"/>
          <w:sz w:val="24"/>
        </w:rPr>
      </w:pPr>
      <w:r>
        <w:rPr>
          <w:rFonts w:ascii="宋体" w:hAnsi="宋体"/>
          <w:sz w:val="24"/>
        </w:rPr>
        <w:t xml:space="preserve">3. </w:t>
      </w:r>
      <w:r>
        <w:rPr>
          <w:rFonts w:hint="eastAsia" w:ascii="宋体" w:hAnsi="宋体"/>
          <w:sz w:val="24"/>
        </w:rPr>
        <w:t>我方同意所提交的投标文件在招标文件的供应商须知规定的投标有效期内有效并在此期间接受约束。</w:t>
      </w:r>
    </w:p>
    <w:p>
      <w:pPr>
        <w:spacing w:line="400" w:lineRule="exact"/>
        <w:ind w:firstLine="480" w:firstLineChars="200"/>
        <w:rPr>
          <w:rFonts w:ascii="宋体"/>
          <w:sz w:val="24"/>
        </w:rPr>
      </w:pPr>
      <w:r>
        <w:rPr>
          <w:rFonts w:ascii="宋体" w:hAnsi="宋体"/>
          <w:sz w:val="24"/>
        </w:rPr>
        <w:t xml:space="preserve">4. </w:t>
      </w:r>
      <w:r>
        <w:rPr>
          <w:rFonts w:hint="eastAsia" w:ascii="宋体" w:hAnsi="宋体"/>
          <w:sz w:val="24"/>
        </w:rPr>
        <w:t>我方同意提供按照贵方可能要求的与其投标有关的一切数据或资料，完全理解贵方不一定接受最低投标报价的投标或收到的任何投标。</w:t>
      </w:r>
    </w:p>
    <w:p>
      <w:pPr>
        <w:spacing w:line="400" w:lineRule="exact"/>
        <w:ind w:firstLine="480" w:firstLineChars="200"/>
        <w:rPr>
          <w:rFonts w:ascii="宋体"/>
          <w:sz w:val="24"/>
        </w:rPr>
      </w:pPr>
      <w:r>
        <w:rPr>
          <w:rFonts w:ascii="宋体" w:hAnsi="宋体"/>
          <w:sz w:val="24"/>
        </w:rPr>
        <w:t xml:space="preserve">5. </w:t>
      </w:r>
      <w:r>
        <w:rPr>
          <w:rFonts w:hint="eastAsia" w:ascii="宋体" w:hAnsi="宋体"/>
          <w:sz w:val="24"/>
        </w:rPr>
        <w:t>一旦我方中标，我们将根据招标文件的规定，严格按照《合同法》履行自己的责任和义务</w:t>
      </w:r>
      <w:r>
        <w:rPr>
          <w:rFonts w:ascii="宋体"/>
          <w:sz w:val="24"/>
        </w:rPr>
        <w:t>,</w:t>
      </w:r>
      <w:r>
        <w:rPr>
          <w:rFonts w:hint="eastAsia" w:ascii="宋体" w:hAnsi="宋体"/>
          <w:sz w:val="24"/>
        </w:rPr>
        <w:t>并保证于投标报价表中规定的时间交货，交付使用方验收、使用。</w:t>
      </w:r>
    </w:p>
    <w:p>
      <w:pPr>
        <w:spacing w:line="400" w:lineRule="exact"/>
        <w:rPr>
          <w:rFonts w:ascii="宋体"/>
          <w:sz w:val="24"/>
        </w:rPr>
      </w:pPr>
      <w:r>
        <w:rPr>
          <w:rFonts w:ascii="宋体" w:hAnsi="宋体"/>
          <w:sz w:val="24"/>
        </w:rPr>
        <w:t xml:space="preserve">    6. </w:t>
      </w:r>
      <w:r>
        <w:rPr>
          <w:rFonts w:hint="eastAsia" w:ascii="宋体" w:hAnsi="宋体"/>
          <w:sz w:val="24"/>
        </w:rPr>
        <w:t>一旦我方中标，保证若非因不可抗力而放弃中标，采购单位不再退还我方投标保证金；如果我方的投标文件被接受，我方将履行招标文件中规定的每一项要求，并按我方投标文件中的承诺按期、保质、保量提供产品及伴随服务。</w:t>
      </w:r>
    </w:p>
    <w:p>
      <w:pPr>
        <w:spacing w:line="400" w:lineRule="exact"/>
        <w:ind w:firstLine="480" w:firstLineChars="200"/>
        <w:rPr>
          <w:rFonts w:ascii="宋体"/>
          <w:sz w:val="24"/>
        </w:rPr>
      </w:pPr>
      <w:r>
        <w:rPr>
          <w:rFonts w:ascii="宋体" w:hAnsi="宋体"/>
          <w:sz w:val="24"/>
        </w:rPr>
        <w:t xml:space="preserve">7. </w:t>
      </w:r>
      <w:r>
        <w:rPr>
          <w:rFonts w:hint="eastAsia" w:ascii="宋体" w:hAnsi="宋体"/>
          <w:sz w:val="24"/>
        </w:rPr>
        <w:t>我方若获得中标，保证按有关规定向贵方支付中标服务费。</w:t>
      </w:r>
    </w:p>
    <w:p>
      <w:pPr>
        <w:spacing w:line="400" w:lineRule="exact"/>
        <w:ind w:firstLine="480" w:firstLineChars="200"/>
        <w:rPr>
          <w:rFonts w:ascii="宋体"/>
          <w:sz w:val="24"/>
        </w:rPr>
      </w:pPr>
    </w:p>
    <w:p>
      <w:pPr>
        <w:pStyle w:val="2"/>
        <w:ind w:firstLine="560"/>
      </w:pPr>
    </w:p>
    <w:p>
      <w:pPr>
        <w:spacing w:line="400" w:lineRule="exact"/>
        <w:ind w:left="601" w:leftChars="286" w:firstLine="240" w:firstLineChars="100"/>
        <w:rPr>
          <w:rFonts w:ascii="宋体"/>
          <w:sz w:val="24"/>
        </w:rPr>
      </w:pPr>
      <w:r>
        <w:rPr>
          <w:rFonts w:hint="eastAsia" w:ascii="宋体" w:hAnsi="宋体"/>
          <w:sz w:val="24"/>
        </w:rPr>
        <w:t>供应商名称：（电子签章）</w:t>
      </w:r>
    </w:p>
    <w:p>
      <w:pPr>
        <w:spacing w:line="400" w:lineRule="exact"/>
        <w:ind w:firstLine="840" w:firstLineChars="350"/>
        <w:rPr>
          <w:rFonts w:ascii="宋体"/>
          <w:sz w:val="24"/>
        </w:rPr>
      </w:pPr>
      <w:r>
        <w:rPr>
          <w:rFonts w:hint="eastAsia" w:ascii="宋体" w:hAnsi="宋体"/>
          <w:sz w:val="24"/>
        </w:rPr>
        <w:t>法定代表人或委托代理人：（电子签章）</w:t>
      </w:r>
    </w:p>
    <w:p>
      <w:pPr>
        <w:tabs>
          <w:tab w:val="left" w:pos="6633"/>
        </w:tabs>
        <w:spacing w:line="400" w:lineRule="exact"/>
        <w:ind w:firstLine="960" w:firstLineChars="400"/>
        <w:jc w:val="left"/>
        <w:rPr>
          <w:rFonts w:ascii="宋体" w:hAnsi="宋体"/>
          <w:sz w:val="24"/>
        </w:rPr>
      </w:pPr>
      <w:r>
        <w:rPr>
          <w:rFonts w:hint="eastAsia" w:ascii="宋体" w:hAnsi="宋体"/>
          <w:sz w:val="24"/>
        </w:rPr>
        <w:t>日期：  年  月  日</w:t>
      </w:r>
    </w:p>
    <w:p>
      <w:pPr>
        <w:rPr>
          <w:rFonts w:ascii="黑体" w:hAnsi="黑体" w:eastAsia="黑体"/>
          <w:b/>
          <w:sz w:val="32"/>
          <w:szCs w:val="32"/>
        </w:rPr>
      </w:pPr>
    </w:p>
    <w:p>
      <w:pPr>
        <w:pStyle w:val="2"/>
      </w:pPr>
    </w:p>
    <w:p>
      <w:pPr>
        <w:jc w:val="center"/>
        <w:rPr>
          <w:rFonts w:ascii="宋体"/>
          <w:sz w:val="24"/>
          <w:u w:val="single"/>
        </w:rPr>
      </w:pPr>
      <w:r>
        <w:rPr>
          <w:rFonts w:hint="eastAsia" w:ascii="黑体" w:hAnsi="黑体" w:eastAsia="黑体"/>
          <w:b/>
          <w:sz w:val="32"/>
          <w:szCs w:val="32"/>
        </w:rPr>
        <w:t>二．投标报价一览表</w:t>
      </w:r>
    </w:p>
    <w:p>
      <w:pPr>
        <w:jc w:val="left"/>
        <w:rPr>
          <w:rFonts w:ascii="宋体"/>
          <w:sz w:val="24"/>
          <w:u w:val="single"/>
        </w:rPr>
      </w:pPr>
    </w:p>
    <w:tbl>
      <w:tblPr>
        <w:tblStyle w:val="20"/>
        <w:tblW w:w="89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530"/>
        <w:gridCol w:w="643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95" w:hRule="atLeast"/>
          <w:jc w:val="center"/>
        </w:trPr>
        <w:tc>
          <w:tcPr>
            <w:tcW w:w="2530" w:type="dxa"/>
            <w:tcBorders>
              <w:top w:val="single" w:color="000000" w:sz="12" w:space="0"/>
            </w:tcBorders>
            <w:vAlign w:val="center"/>
          </w:tcPr>
          <w:p>
            <w:pPr>
              <w:jc w:val="center"/>
              <w:rPr>
                <w:rFonts w:ascii="宋体"/>
                <w:szCs w:val="21"/>
              </w:rPr>
            </w:pPr>
            <w:r>
              <w:rPr>
                <w:rFonts w:hint="eastAsia" w:ascii="宋体" w:hAnsi="宋体"/>
                <w:szCs w:val="21"/>
              </w:rPr>
              <w:t>投标单位名称</w:t>
            </w:r>
          </w:p>
        </w:tc>
        <w:tc>
          <w:tcPr>
            <w:tcW w:w="6430" w:type="dxa"/>
            <w:tcBorders>
              <w:top w:val="single" w:color="000000" w:sz="12" w:space="0"/>
            </w:tcBorders>
            <w:vAlign w:val="center"/>
          </w:tcPr>
          <w:p>
            <w:pPr>
              <w:jc w:val="center"/>
              <w:rPr>
                <w:rFonts w:asci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2530" w:type="dxa"/>
            <w:vAlign w:val="center"/>
          </w:tcPr>
          <w:p>
            <w:pPr>
              <w:jc w:val="center"/>
              <w:rPr>
                <w:rFonts w:ascii="宋体"/>
                <w:szCs w:val="21"/>
              </w:rPr>
            </w:pPr>
            <w:r>
              <w:rPr>
                <w:rFonts w:hint="eastAsia" w:ascii="宋体" w:hAnsi="宋体"/>
                <w:szCs w:val="21"/>
              </w:rPr>
              <w:t>项目名称</w:t>
            </w:r>
          </w:p>
        </w:tc>
        <w:tc>
          <w:tcPr>
            <w:tcW w:w="6430" w:type="dxa"/>
            <w:vAlign w:val="center"/>
          </w:tcPr>
          <w:p>
            <w:pPr>
              <w:jc w:val="center"/>
              <w:rPr>
                <w:rFonts w:ascii="宋体"/>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42" w:hRule="atLeast"/>
          <w:jc w:val="center"/>
        </w:trPr>
        <w:tc>
          <w:tcPr>
            <w:tcW w:w="2530" w:type="dxa"/>
            <w:vAlign w:val="center"/>
          </w:tcPr>
          <w:p>
            <w:pPr>
              <w:jc w:val="center"/>
              <w:rPr>
                <w:rFonts w:ascii="宋体"/>
                <w:szCs w:val="21"/>
              </w:rPr>
            </w:pPr>
            <w:r>
              <w:rPr>
                <w:rFonts w:hint="eastAsia" w:ascii="宋体" w:hAnsi="宋体"/>
                <w:szCs w:val="21"/>
              </w:rPr>
              <w:t>投标总报价</w:t>
            </w:r>
          </w:p>
        </w:tc>
        <w:tc>
          <w:tcPr>
            <w:tcW w:w="6430" w:type="dxa"/>
            <w:vAlign w:val="center"/>
          </w:tcPr>
          <w:p>
            <w:pPr>
              <w:jc w:val="center"/>
              <w:rPr>
                <w:rFonts w:ascii="宋体"/>
                <w:szCs w:val="21"/>
              </w:rPr>
            </w:pPr>
            <w:r>
              <w:rPr>
                <w:rFonts w:hint="eastAsia" w:ascii="宋体" w:hAnsi="宋体"/>
                <w:szCs w:val="21"/>
              </w:rPr>
              <w:t>大写：      人民币</w:t>
            </w:r>
          </w:p>
          <w:p>
            <w:pPr>
              <w:jc w:val="center"/>
              <w:rPr>
                <w:rFonts w:ascii="宋体"/>
                <w:szCs w:val="21"/>
              </w:rPr>
            </w:pPr>
          </w:p>
          <w:p>
            <w:pPr>
              <w:jc w:val="center"/>
              <w:rPr>
                <w:rFonts w:ascii="宋体"/>
                <w:szCs w:val="21"/>
              </w:rPr>
            </w:pPr>
            <w:r>
              <w:rPr>
                <w:rFonts w:hint="eastAsia" w:ascii="宋体" w:hAnsi="宋体"/>
                <w:szCs w:val="21"/>
              </w:rPr>
              <w:t>小写：      人民币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2530" w:type="dxa"/>
            <w:vAlign w:val="center"/>
          </w:tcPr>
          <w:p>
            <w:pPr>
              <w:overflowPunct w:val="0"/>
              <w:topLinePunct/>
              <w:adjustRightInd w:val="0"/>
              <w:snapToGrid w:val="0"/>
              <w:spacing w:line="440" w:lineRule="exact"/>
              <w:jc w:val="center"/>
              <w:textAlignment w:val="top"/>
              <w:rPr>
                <w:rFonts w:ascii="宋体"/>
                <w:szCs w:val="21"/>
              </w:rPr>
            </w:pPr>
            <w:r>
              <w:rPr>
                <w:rFonts w:hint="eastAsia" w:ascii="宋体"/>
                <w:szCs w:val="21"/>
              </w:rPr>
              <w:t>供货期</w:t>
            </w:r>
          </w:p>
        </w:tc>
        <w:tc>
          <w:tcPr>
            <w:tcW w:w="6430" w:type="dxa"/>
            <w:vAlign w:val="center"/>
          </w:tcPr>
          <w:p>
            <w:pPr>
              <w:overflowPunct w:val="0"/>
              <w:topLinePunct/>
              <w:adjustRightInd w:val="0"/>
              <w:snapToGrid w:val="0"/>
              <w:spacing w:line="440" w:lineRule="exact"/>
              <w:textAlignment w:val="top"/>
              <w:rPr>
                <w:rFonts w:asci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2530" w:type="dxa"/>
            <w:vAlign w:val="center"/>
          </w:tcPr>
          <w:p>
            <w:pPr>
              <w:spacing w:line="420" w:lineRule="exact"/>
              <w:jc w:val="center"/>
              <w:rPr>
                <w:rFonts w:ascii="宋体"/>
                <w:szCs w:val="21"/>
              </w:rPr>
            </w:pPr>
            <w:r>
              <w:rPr>
                <w:rFonts w:hint="eastAsia" w:ascii="宋体" w:hAnsi="宋体"/>
                <w:color w:val="000000"/>
                <w:szCs w:val="21"/>
              </w:rPr>
              <w:t>质量要求</w:t>
            </w:r>
          </w:p>
        </w:tc>
        <w:tc>
          <w:tcPr>
            <w:tcW w:w="6430" w:type="dxa"/>
            <w:vAlign w:val="center"/>
          </w:tcPr>
          <w:p>
            <w:pPr>
              <w:spacing w:line="420" w:lineRule="exact"/>
              <w:jc w:val="left"/>
              <w:rPr>
                <w:rFonts w:asci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2530" w:type="dxa"/>
            <w:vAlign w:val="center"/>
          </w:tcPr>
          <w:p>
            <w:pPr>
              <w:jc w:val="center"/>
              <w:rPr>
                <w:rFonts w:ascii="宋体"/>
                <w:szCs w:val="21"/>
              </w:rPr>
            </w:pPr>
            <w:r>
              <w:rPr>
                <w:rFonts w:hint="eastAsia" w:ascii="宋体" w:hAnsi="宋体"/>
                <w:szCs w:val="21"/>
              </w:rPr>
              <w:t>投标有效期</w:t>
            </w:r>
          </w:p>
        </w:tc>
        <w:tc>
          <w:tcPr>
            <w:tcW w:w="6430" w:type="dxa"/>
            <w:vAlign w:val="center"/>
          </w:tcPr>
          <w:p>
            <w:pPr>
              <w:jc w:val="center"/>
              <w:rPr>
                <w:rFonts w:asci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57" w:hRule="atLeast"/>
          <w:jc w:val="center"/>
        </w:trPr>
        <w:tc>
          <w:tcPr>
            <w:tcW w:w="2530" w:type="dxa"/>
            <w:tcBorders>
              <w:bottom w:val="single" w:color="000000" w:sz="12" w:space="0"/>
            </w:tcBorders>
            <w:vAlign w:val="center"/>
          </w:tcPr>
          <w:p>
            <w:pPr>
              <w:jc w:val="center"/>
              <w:rPr>
                <w:rFonts w:ascii="宋体"/>
                <w:szCs w:val="21"/>
              </w:rPr>
            </w:pPr>
            <w:r>
              <w:rPr>
                <w:rFonts w:hint="eastAsia" w:ascii="宋体" w:hAnsi="宋体"/>
                <w:szCs w:val="21"/>
              </w:rPr>
              <w:t>其它优惠说明</w:t>
            </w:r>
          </w:p>
        </w:tc>
        <w:tc>
          <w:tcPr>
            <w:tcW w:w="6430" w:type="dxa"/>
            <w:tcBorders>
              <w:bottom w:val="single" w:color="000000" w:sz="12" w:space="0"/>
            </w:tcBorders>
            <w:vAlign w:val="center"/>
          </w:tcPr>
          <w:p>
            <w:pPr>
              <w:jc w:val="center"/>
              <w:rPr>
                <w:rFonts w:ascii="宋体"/>
                <w:szCs w:val="21"/>
              </w:rPr>
            </w:pPr>
          </w:p>
        </w:tc>
      </w:tr>
    </w:tbl>
    <w:p>
      <w:pPr>
        <w:rPr>
          <w:rFonts w:ascii="宋体"/>
          <w:sz w:val="24"/>
        </w:rPr>
      </w:pPr>
    </w:p>
    <w:p>
      <w:pPr>
        <w:spacing w:before="312" w:beforeLines="100"/>
        <w:jc w:val="left"/>
        <w:rPr>
          <w:rFonts w:ascii="宋体"/>
          <w:sz w:val="24"/>
        </w:rPr>
      </w:pPr>
      <w:r>
        <w:rPr>
          <w:rFonts w:hint="eastAsia" w:ascii="宋体" w:hAnsi="宋体"/>
          <w:sz w:val="24"/>
        </w:rPr>
        <w:t>供应商（电子签章）：</w:t>
      </w:r>
    </w:p>
    <w:p>
      <w:pPr>
        <w:jc w:val="left"/>
        <w:rPr>
          <w:rFonts w:ascii="宋体"/>
          <w:sz w:val="24"/>
        </w:rPr>
      </w:pPr>
    </w:p>
    <w:p>
      <w:pPr>
        <w:jc w:val="left"/>
        <w:rPr>
          <w:rFonts w:ascii="宋体"/>
          <w:sz w:val="24"/>
        </w:rPr>
      </w:pPr>
    </w:p>
    <w:p>
      <w:pPr>
        <w:jc w:val="left"/>
        <w:rPr>
          <w:rFonts w:ascii="宋体"/>
          <w:sz w:val="24"/>
          <w:u w:val="single"/>
        </w:rPr>
      </w:pPr>
      <w:r>
        <w:rPr>
          <w:rFonts w:hint="eastAsia" w:ascii="宋体" w:hAnsi="宋体"/>
          <w:sz w:val="24"/>
        </w:rPr>
        <w:t>法定代表人或供应商代表（电子签章）：</w:t>
      </w:r>
    </w:p>
    <w:p>
      <w:pPr>
        <w:jc w:val="left"/>
        <w:rPr>
          <w:rFonts w:ascii="宋体"/>
          <w:sz w:val="24"/>
          <w:u w:val="single"/>
        </w:rPr>
      </w:pPr>
    </w:p>
    <w:p>
      <w:pPr>
        <w:jc w:val="left"/>
        <w:rPr>
          <w:rFonts w:ascii="宋体"/>
          <w:sz w:val="24"/>
          <w:u w:val="single"/>
        </w:rPr>
      </w:pPr>
    </w:p>
    <w:p>
      <w:pPr>
        <w:jc w:val="left"/>
        <w:rPr>
          <w:rFonts w:ascii="宋体"/>
          <w:sz w:val="24"/>
        </w:rPr>
      </w:pPr>
      <w:r>
        <w:rPr>
          <w:rFonts w:hint="eastAsia" w:ascii="宋体" w:hAnsi="宋体"/>
          <w:sz w:val="24"/>
        </w:rPr>
        <w:t>日期：   年   月   日</w:t>
      </w:r>
    </w:p>
    <w:p>
      <w:pPr>
        <w:rPr>
          <w:rFonts w:ascii="宋体"/>
          <w:sz w:val="24"/>
        </w:rPr>
      </w:pPr>
    </w:p>
    <w:p>
      <w:pPr>
        <w:rPr>
          <w:rFonts w:ascii="宋体"/>
          <w:sz w:val="24"/>
        </w:rPr>
      </w:pPr>
    </w:p>
    <w:p>
      <w:pPr>
        <w:spacing w:line="440" w:lineRule="exact"/>
        <w:rPr>
          <w:rFonts w:ascii="宋体"/>
          <w:sz w:val="24"/>
        </w:rPr>
      </w:pPr>
      <w:r>
        <w:rPr>
          <w:rFonts w:hint="eastAsia" w:ascii="宋体" w:hAnsi="宋体"/>
          <w:sz w:val="24"/>
        </w:rPr>
        <w:t>填写说明：</w:t>
      </w:r>
    </w:p>
    <w:p>
      <w:pPr>
        <w:spacing w:line="380" w:lineRule="exact"/>
        <w:ind w:firstLine="480" w:firstLineChars="200"/>
        <w:rPr>
          <w:rFonts w:ascii="宋体" w:hAnsi="宋体"/>
          <w:sz w:val="24"/>
        </w:rPr>
      </w:pPr>
      <w:r>
        <w:rPr>
          <w:rFonts w:hint="eastAsia" w:ascii="宋体" w:hAnsi="宋体"/>
          <w:sz w:val="24"/>
        </w:rPr>
        <w:t>投标报价包括：货物本身的费用、包装费、运输费、运输过程保险费、质量保证费、可能的法定部门检测验收费用、相关的伴随服务费、货物本身已支付或将支付的各种税费，以及其它交付使用前的所有费用。</w:t>
      </w:r>
    </w:p>
    <w:p>
      <w:pPr>
        <w:tabs>
          <w:tab w:val="left" w:pos="618"/>
        </w:tabs>
        <w:spacing w:line="440" w:lineRule="exact"/>
        <w:ind w:firstLine="480" w:firstLineChars="200"/>
        <w:rPr>
          <w:rFonts w:ascii="宋体"/>
          <w:color w:val="FF0000"/>
          <w:sz w:val="24"/>
        </w:rPr>
      </w:pPr>
    </w:p>
    <w:p>
      <w:pPr>
        <w:keepNext/>
        <w:keepLines/>
        <w:numPr>
          <w:ilvl w:val="0"/>
          <w:numId w:val="5"/>
        </w:numPr>
        <w:shd w:val="clear" w:color="auto" w:fill="FFFFFF"/>
        <w:snapToGrid w:val="0"/>
        <w:spacing w:before="260" w:after="260" w:line="400" w:lineRule="exact"/>
        <w:jc w:val="center"/>
        <w:outlineLvl w:val="1"/>
        <w:rPr>
          <w:rFonts w:ascii="宋体" w:cs="Arial"/>
          <w:b/>
          <w:bCs/>
          <w:sz w:val="32"/>
          <w:szCs w:val="32"/>
        </w:rPr>
      </w:pPr>
      <w:r>
        <w:rPr>
          <w:rFonts w:hint="eastAsia" w:ascii="宋体" w:hAnsi="宋体" w:cs="宋体"/>
          <w:b/>
          <w:kern w:val="0"/>
          <w:sz w:val="31"/>
          <w:szCs w:val="31"/>
          <w:lang w:bidi="ar"/>
        </w:rPr>
        <w:t>投标产品配置清单报价一览表</w:t>
      </w:r>
    </w:p>
    <w:tbl>
      <w:tblPr>
        <w:tblStyle w:val="20"/>
        <w:tblW w:w="89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Layout w:type="fixed"/>
        <w:tblCellMar>
          <w:top w:w="0" w:type="dxa"/>
          <w:left w:w="108" w:type="dxa"/>
          <w:bottom w:w="0" w:type="dxa"/>
          <w:right w:w="108" w:type="dxa"/>
        </w:tblCellMar>
      </w:tblPr>
      <w:tblGrid>
        <w:gridCol w:w="778"/>
        <w:gridCol w:w="3187"/>
        <w:gridCol w:w="937"/>
        <w:gridCol w:w="883"/>
        <w:gridCol w:w="1006"/>
        <w:gridCol w:w="963"/>
        <w:gridCol w:w="11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trHeight w:val="996" w:hRule="atLeast"/>
        </w:trPr>
        <w:tc>
          <w:tcPr>
            <w:tcW w:w="778" w:type="dxa"/>
            <w:tcBorders>
              <w:top w:val="single" w:color="auto" w:sz="12" w:space="0"/>
            </w:tcBorders>
            <w:vAlign w:val="center"/>
          </w:tcPr>
          <w:p>
            <w:pPr>
              <w:spacing w:line="300" w:lineRule="exact"/>
              <w:jc w:val="center"/>
              <w:rPr>
                <w:rFonts w:ascii="宋体"/>
                <w:kern w:val="0"/>
                <w:szCs w:val="21"/>
              </w:rPr>
            </w:pPr>
            <w:r>
              <w:rPr>
                <w:rFonts w:hint="eastAsia" w:ascii="宋体" w:hAnsi="宋体"/>
                <w:kern w:val="0"/>
                <w:szCs w:val="21"/>
              </w:rPr>
              <w:t>序号</w:t>
            </w:r>
          </w:p>
        </w:tc>
        <w:tc>
          <w:tcPr>
            <w:tcW w:w="3187" w:type="dxa"/>
            <w:tcBorders>
              <w:top w:val="single" w:color="auto" w:sz="12" w:space="0"/>
            </w:tcBorders>
            <w:vAlign w:val="center"/>
          </w:tcPr>
          <w:p>
            <w:pPr>
              <w:snapToGrid w:val="0"/>
              <w:spacing w:line="400" w:lineRule="exact"/>
              <w:jc w:val="center"/>
              <w:rPr>
                <w:rFonts w:ascii="宋体"/>
                <w:szCs w:val="21"/>
              </w:rPr>
            </w:pPr>
            <w:r>
              <w:rPr>
                <w:rFonts w:hint="eastAsia" w:ascii="宋体" w:hAnsi="宋体"/>
                <w:kern w:val="0"/>
                <w:szCs w:val="21"/>
              </w:rPr>
              <w:t>设备名称</w:t>
            </w:r>
          </w:p>
        </w:tc>
        <w:tc>
          <w:tcPr>
            <w:tcW w:w="937" w:type="dxa"/>
            <w:tcBorders>
              <w:top w:val="single" w:color="auto" w:sz="12" w:space="0"/>
            </w:tcBorders>
            <w:vAlign w:val="center"/>
          </w:tcPr>
          <w:p>
            <w:pPr>
              <w:snapToGrid w:val="0"/>
              <w:spacing w:line="400" w:lineRule="exact"/>
              <w:jc w:val="center"/>
              <w:rPr>
                <w:rFonts w:ascii="宋体"/>
                <w:szCs w:val="21"/>
              </w:rPr>
            </w:pPr>
            <w:r>
              <w:rPr>
                <w:rFonts w:hint="eastAsia" w:ascii="宋体" w:hAnsi="宋体"/>
                <w:kern w:val="0"/>
                <w:szCs w:val="21"/>
              </w:rPr>
              <w:t>单位</w:t>
            </w:r>
          </w:p>
        </w:tc>
        <w:tc>
          <w:tcPr>
            <w:tcW w:w="883" w:type="dxa"/>
            <w:tcBorders>
              <w:top w:val="single" w:color="auto" w:sz="12" w:space="0"/>
            </w:tcBorders>
            <w:vAlign w:val="center"/>
          </w:tcPr>
          <w:p>
            <w:pPr>
              <w:snapToGrid w:val="0"/>
              <w:spacing w:line="400" w:lineRule="exact"/>
              <w:jc w:val="center"/>
              <w:rPr>
                <w:rFonts w:ascii="宋体"/>
                <w:szCs w:val="21"/>
              </w:rPr>
            </w:pPr>
            <w:r>
              <w:rPr>
                <w:rFonts w:hint="eastAsia" w:ascii="宋体" w:hAnsi="宋体"/>
                <w:kern w:val="0"/>
                <w:szCs w:val="21"/>
              </w:rPr>
              <w:t>数量</w:t>
            </w:r>
          </w:p>
        </w:tc>
        <w:tc>
          <w:tcPr>
            <w:tcW w:w="1006" w:type="dxa"/>
            <w:tcBorders>
              <w:top w:val="single" w:color="auto" w:sz="12" w:space="0"/>
            </w:tcBorders>
            <w:vAlign w:val="center"/>
          </w:tcPr>
          <w:p>
            <w:pPr>
              <w:widowControl/>
              <w:spacing w:line="300" w:lineRule="exact"/>
              <w:jc w:val="center"/>
              <w:rPr>
                <w:rFonts w:ascii="宋体"/>
                <w:kern w:val="0"/>
                <w:szCs w:val="21"/>
              </w:rPr>
            </w:pPr>
            <w:r>
              <w:rPr>
                <w:rFonts w:hint="eastAsia" w:ascii="宋体" w:hAnsi="宋体"/>
                <w:kern w:val="0"/>
                <w:szCs w:val="21"/>
              </w:rPr>
              <w:t>单价</w:t>
            </w:r>
          </w:p>
        </w:tc>
        <w:tc>
          <w:tcPr>
            <w:tcW w:w="963" w:type="dxa"/>
            <w:tcBorders>
              <w:top w:val="single" w:color="auto" w:sz="12" w:space="0"/>
            </w:tcBorders>
            <w:vAlign w:val="center"/>
          </w:tcPr>
          <w:p>
            <w:pPr>
              <w:widowControl/>
              <w:spacing w:line="300" w:lineRule="exact"/>
              <w:jc w:val="center"/>
              <w:rPr>
                <w:rFonts w:ascii="宋体"/>
                <w:kern w:val="0"/>
                <w:szCs w:val="21"/>
              </w:rPr>
            </w:pPr>
            <w:r>
              <w:rPr>
                <w:rFonts w:hint="eastAsia" w:ascii="宋体" w:hAnsi="宋体"/>
                <w:kern w:val="0"/>
                <w:szCs w:val="21"/>
              </w:rPr>
              <w:t>合价</w:t>
            </w:r>
          </w:p>
          <w:p>
            <w:pPr>
              <w:widowControl/>
              <w:spacing w:line="300" w:lineRule="exact"/>
              <w:jc w:val="center"/>
              <w:rPr>
                <w:rFonts w:ascii="宋体"/>
                <w:kern w:val="0"/>
                <w:szCs w:val="21"/>
              </w:rPr>
            </w:pPr>
            <w:r>
              <w:rPr>
                <w:rFonts w:hint="eastAsia" w:ascii="宋体" w:hAnsi="宋体"/>
                <w:kern w:val="0"/>
                <w:szCs w:val="21"/>
              </w:rPr>
              <w:t>（元）</w:t>
            </w:r>
          </w:p>
        </w:tc>
        <w:tc>
          <w:tcPr>
            <w:tcW w:w="1146" w:type="dxa"/>
            <w:tcBorders>
              <w:top w:val="single" w:color="auto" w:sz="12" w:space="0"/>
            </w:tcBorders>
            <w:vAlign w:val="center"/>
          </w:tcPr>
          <w:p>
            <w:pPr>
              <w:widowControl/>
              <w:spacing w:line="300" w:lineRule="exact"/>
              <w:jc w:val="center"/>
              <w:rPr>
                <w:rFonts w:ascii="宋体"/>
                <w:kern w:val="0"/>
                <w:szCs w:val="21"/>
              </w:rPr>
            </w:pPr>
            <w:r>
              <w:rPr>
                <w:rFonts w:hint="eastAsia" w:ascii="宋体" w:hAnsi="宋体"/>
                <w:kern w:val="0"/>
                <w:szCs w:val="21"/>
              </w:rPr>
              <w:t>其它</w:t>
            </w:r>
          </w:p>
          <w:p>
            <w:pPr>
              <w:widowControl/>
              <w:spacing w:line="300" w:lineRule="exact"/>
              <w:jc w:val="center"/>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trHeight w:val="1235" w:hRule="atLeast"/>
        </w:trPr>
        <w:tc>
          <w:tcPr>
            <w:tcW w:w="778" w:type="dxa"/>
            <w:vAlign w:val="center"/>
          </w:tcPr>
          <w:p>
            <w:pPr>
              <w:spacing w:line="300" w:lineRule="exact"/>
              <w:jc w:val="center"/>
              <w:rPr>
                <w:rFonts w:ascii="宋体"/>
                <w:kern w:val="0"/>
                <w:szCs w:val="21"/>
              </w:rPr>
            </w:pPr>
            <w:r>
              <w:rPr>
                <w:rFonts w:ascii="宋体" w:hAnsi="宋体"/>
                <w:kern w:val="0"/>
                <w:szCs w:val="21"/>
              </w:rPr>
              <w:t>1</w:t>
            </w:r>
          </w:p>
        </w:tc>
        <w:tc>
          <w:tcPr>
            <w:tcW w:w="3187" w:type="dxa"/>
            <w:vAlign w:val="center"/>
          </w:tcPr>
          <w:p>
            <w:pPr>
              <w:spacing w:line="300" w:lineRule="exact"/>
              <w:jc w:val="center"/>
              <w:rPr>
                <w:rFonts w:ascii="宋体"/>
                <w:kern w:val="0"/>
                <w:szCs w:val="21"/>
              </w:rPr>
            </w:pPr>
          </w:p>
        </w:tc>
        <w:tc>
          <w:tcPr>
            <w:tcW w:w="937" w:type="dxa"/>
            <w:vAlign w:val="center"/>
          </w:tcPr>
          <w:p>
            <w:pPr>
              <w:spacing w:line="300" w:lineRule="exact"/>
              <w:jc w:val="center"/>
              <w:rPr>
                <w:rFonts w:ascii="宋体"/>
                <w:kern w:val="0"/>
                <w:szCs w:val="21"/>
              </w:rPr>
            </w:pPr>
          </w:p>
        </w:tc>
        <w:tc>
          <w:tcPr>
            <w:tcW w:w="883" w:type="dxa"/>
            <w:vAlign w:val="center"/>
          </w:tcPr>
          <w:p>
            <w:pPr>
              <w:snapToGrid w:val="0"/>
              <w:spacing w:line="400" w:lineRule="exact"/>
              <w:jc w:val="center"/>
              <w:rPr>
                <w:rFonts w:ascii="宋体"/>
                <w:szCs w:val="21"/>
              </w:rPr>
            </w:pPr>
          </w:p>
        </w:tc>
        <w:tc>
          <w:tcPr>
            <w:tcW w:w="1006" w:type="dxa"/>
            <w:vAlign w:val="center"/>
          </w:tcPr>
          <w:p>
            <w:pPr>
              <w:snapToGrid w:val="0"/>
              <w:spacing w:line="400" w:lineRule="exact"/>
              <w:jc w:val="center"/>
              <w:rPr>
                <w:rFonts w:ascii="宋体"/>
                <w:szCs w:val="21"/>
              </w:rPr>
            </w:pPr>
          </w:p>
        </w:tc>
        <w:tc>
          <w:tcPr>
            <w:tcW w:w="963" w:type="dxa"/>
            <w:vAlign w:val="center"/>
          </w:tcPr>
          <w:p>
            <w:pPr>
              <w:snapToGrid w:val="0"/>
              <w:spacing w:line="400" w:lineRule="exact"/>
              <w:jc w:val="center"/>
              <w:rPr>
                <w:rFonts w:ascii="宋体"/>
                <w:szCs w:val="21"/>
              </w:rPr>
            </w:pPr>
          </w:p>
        </w:tc>
        <w:tc>
          <w:tcPr>
            <w:tcW w:w="1146" w:type="dxa"/>
            <w:vAlign w:val="center"/>
          </w:tcPr>
          <w:p>
            <w:pPr>
              <w:snapToGrid w:val="0"/>
              <w:spacing w:line="40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trHeight w:val="1235" w:hRule="atLeast"/>
        </w:trPr>
        <w:tc>
          <w:tcPr>
            <w:tcW w:w="778" w:type="dxa"/>
            <w:vAlign w:val="center"/>
          </w:tcPr>
          <w:p>
            <w:pPr>
              <w:spacing w:line="300" w:lineRule="exact"/>
              <w:jc w:val="center"/>
              <w:rPr>
                <w:rFonts w:ascii="宋体"/>
                <w:kern w:val="0"/>
                <w:szCs w:val="21"/>
              </w:rPr>
            </w:pPr>
            <w:r>
              <w:rPr>
                <w:rFonts w:ascii="宋体" w:hAnsi="宋体"/>
                <w:kern w:val="0"/>
                <w:szCs w:val="21"/>
              </w:rPr>
              <w:t>2</w:t>
            </w:r>
          </w:p>
        </w:tc>
        <w:tc>
          <w:tcPr>
            <w:tcW w:w="3187" w:type="dxa"/>
            <w:vAlign w:val="center"/>
          </w:tcPr>
          <w:p>
            <w:pPr>
              <w:spacing w:line="300" w:lineRule="exact"/>
              <w:jc w:val="center"/>
              <w:rPr>
                <w:rFonts w:ascii="宋体"/>
                <w:kern w:val="0"/>
                <w:szCs w:val="21"/>
              </w:rPr>
            </w:pPr>
          </w:p>
        </w:tc>
        <w:tc>
          <w:tcPr>
            <w:tcW w:w="937" w:type="dxa"/>
            <w:vAlign w:val="center"/>
          </w:tcPr>
          <w:p>
            <w:pPr>
              <w:spacing w:line="300" w:lineRule="exact"/>
              <w:jc w:val="center"/>
              <w:rPr>
                <w:rFonts w:ascii="宋体"/>
                <w:kern w:val="0"/>
                <w:szCs w:val="21"/>
              </w:rPr>
            </w:pPr>
          </w:p>
        </w:tc>
        <w:tc>
          <w:tcPr>
            <w:tcW w:w="883" w:type="dxa"/>
            <w:vAlign w:val="center"/>
          </w:tcPr>
          <w:p>
            <w:pPr>
              <w:snapToGrid w:val="0"/>
              <w:spacing w:line="400" w:lineRule="exact"/>
              <w:jc w:val="center"/>
              <w:rPr>
                <w:rFonts w:ascii="宋体"/>
                <w:szCs w:val="21"/>
              </w:rPr>
            </w:pPr>
          </w:p>
        </w:tc>
        <w:tc>
          <w:tcPr>
            <w:tcW w:w="1006" w:type="dxa"/>
            <w:vAlign w:val="center"/>
          </w:tcPr>
          <w:p>
            <w:pPr>
              <w:snapToGrid w:val="0"/>
              <w:spacing w:line="400" w:lineRule="exact"/>
              <w:jc w:val="center"/>
              <w:rPr>
                <w:rFonts w:ascii="宋体"/>
                <w:szCs w:val="21"/>
              </w:rPr>
            </w:pPr>
          </w:p>
        </w:tc>
        <w:tc>
          <w:tcPr>
            <w:tcW w:w="963" w:type="dxa"/>
            <w:vAlign w:val="center"/>
          </w:tcPr>
          <w:p>
            <w:pPr>
              <w:snapToGrid w:val="0"/>
              <w:spacing w:line="400" w:lineRule="exact"/>
              <w:jc w:val="center"/>
              <w:rPr>
                <w:rFonts w:ascii="宋体"/>
                <w:szCs w:val="21"/>
              </w:rPr>
            </w:pPr>
          </w:p>
        </w:tc>
        <w:tc>
          <w:tcPr>
            <w:tcW w:w="1146" w:type="dxa"/>
            <w:vAlign w:val="center"/>
          </w:tcPr>
          <w:p>
            <w:pPr>
              <w:snapToGrid w:val="0"/>
              <w:spacing w:line="40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trHeight w:val="1235" w:hRule="atLeast"/>
        </w:trPr>
        <w:tc>
          <w:tcPr>
            <w:tcW w:w="778" w:type="dxa"/>
            <w:vAlign w:val="center"/>
          </w:tcPr>
          <w:p>
            <w:pPr>
              <w:spacing w:line="300" w:lineRule="exact"/>
              <w:jc w:val="center"/>
              <w:rPr>
                <w:rFonts w:ascii="宋体"/>
                <w:kern w:val="0"/>
                <w:szCs w:val="21"/>
              </w:rPr>
            </w:pPr>
            <w:r>
              <w:rPr>
                <w:rFonts w:hint="eastAsia" w:ascii="宋体" w:hAnsi="宋体"/>
                <w:kern w:val="0"/>
                <w:szCs w:val="21"/>
              </w:rPr>
              <w:t>……</w:t>
            </w:r>
          </w:p>
        </w:tc>
        <w:tc>
          <w:tcPr>
            <w:tcW w:w="3187" w:type="dxa"/>
            <w:vAlign w:val="center"/>
          </w:tcPr>
          <w:p>
            <w:pPr>
              <w:spacing w:line="300" w:lineRule="exact"/>
              <w:jc w:val="center"/>
              <w:rPr>
                <w:rFonts w:ascii="宋体"/>
                <w:kern w:val="0"/>
                <w:szCs w:val="21"/>
              </w:rPr>
            </w:pPr>
          </w:p>
        </w:tc>
        <w:tc>
          <w:tcPr>
            <w:tcW w:w="937" w:type="dxa"/>
            <w:vAlign w:val="center"/>
          </w:tcPr>
          <w:p>
            <w:pPr>
              <w:spacing w:line="300" w:lineRule="exact"/>
              <w:jc w:val="center"/>
              <w:rPr>
                <w:rFonts w:ascii="宋体"/>
                <w:kern w:val="0"/>
                <w:szCs w:val="21"/>
              </w:rPr>
            </w:pPr>
          </w:p>
        </w:tc>
        <w:tc>
          <w:tcPr>
            <w:tcW w:w="883" w:type="dxa"/>
            <w:vAlign w:val="center"/>
          </w:tcPr>
          <w:p>
            <w:pPr>
              <w:snapToGrid w:val="0"/>
              <w:spacing w:line="400" w:lineRule="exact"/>
              <w:jc w:val="center"/>
              <w:rPr>
                <w:rFonts w:ascii="宋体"/>
                <w:szCs w:val="21"/>
              </w:rPr>
            </w:pPr>
          </w:p>
        </w:tc>
        <w:tc>
          <w:tcPr>
            <w:tcW w:w="1006" w:type="dxa"/>
            <w:vAlign w:val="center"/>
          </w:tcPr>
          <w:p>
            <w:pPr>
              <w:snapToGrid w:val="0"/>
              <w:spacing w:line="400" w:lineRule="exact"/>
              <w:jc w:val="center"/>
              <w:rPr>
                <w:rFonts w:ascii="宋体"/>
                <w:szCs w:val="21"/>
              </w:rPr>
            </w:pPr>
          </w:p>
        </w:tc>
        <w:tc>
          <w:tcPr>
            <w:tcW w:w="963" w:type="dxa"/>
            <w:vAlign w:val="center"/>
          </w:tcPr>
          <w:p>
            <w:pPr>
              <w:snapToGrid w:val="0"/>
              <w:spacing w:line="400" w:lineRule="exact"/>
              <w:jc w:val="center"/>
              <w:rPr>
                <w:rFonts w:ascii="宋体"/>
                <w:szCs w:val="21"/>
              </w:rPr>
            </w:pPr>
          </w:p>
        </w:tc>
        <w:tc>
          <w:tcPr>
            <w:tcW w:w="1146" w:type="dxa"/>
            <w:vAlign w:val="center"/>
          </w:tcPr>
          <w:p>
            <w:pPr>
              <w:snapToGrid w:val="0"/>
              <w:spacing w:line="40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trHeight w:val="609" w:hRule="atLeast"/>
        </w:trPr>
        <w:tc>
          <w:tcPr>
            <w:tcW w:w="3965" w:type="dxa"/>
            <w:gridSpan w:val="2"/>
            <w:vMerge w:val="restart"/>
            <w:vAlign w:val="center"/>
          </w:tcPr>
          <w:p>
            <w:pPr>
              <w:snapToGrid w:val="0"/>
              <w:spacing w:line="400" w:lineRule="exact"/>
              <w:jc w:val="center"/>
              <w:rPr>
                <w:rFonts w:ascii="宋体"/>
                <w:kern w:val="0"/>
                <w:szCs w:val="21"/>
              </w:rPr>
            </w:pPr>
            <w:r>
              <w:rPr>
                <w:rFonts w:hint="eastAsia" w:ascii="宋体" w:hAnsi="宋体"/>
                <w:kern w:val="0"/>
                <w:szCs w:val="21"/>
              </w:rPr>
              <w:t>本表报价合计</w:t>
            </w:r>
          </w:p>
          <w:p>
            <w:pPr>
              <w:snapToGrid w:val="0"/>
              <w:spacing w:line="400" w:lineRule="exact"/>
              <w:jc w:val="center"/>
              <w:rPr>
                <w:rFonts w:ascii="宋体"/>
                <w:szCs w:val="21"/>
              </w:rPr>
            </w:pPr>
          </w:p>
        </w:tc>
        <w:tc>
          <w:tcPr>
            <w:tcW w:w="4935" w:type="dxa"/>
            <w:gridSpan w:val="5"/>
            <w:vAlign w:val="center"/>
          </w:tcPr>
          <w:p>
            <w:pPr>
              <w:snapToGrid w:val="0"/>
              <w:spacing w:line="400" w:lineRule="exact"/>
              <w:jc w:val="left"/>
              <w:rPr>
                <w:rFonts w:ascii="宋体"/>
                <w:kern w:val="0"/>
                <w:szCs w:val="21"/>
              </w:rPr>
            </w:pPr>
            <w:r>
              <w:rPr>
                <w:rFonts w:hint="eastAsia" w:ascii="宋体" w:hAnsi="宋体"/>
                <w:kern w:val="0"/>
                <w:szCs w:val="21"/>
              </w:rPr>
              <w:t>大写</w:t>
            </w:r>
            <w:r>
              <w:rPr>
                <w:rFonts w:ascii="宋体"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trHeight w:val="741" w:hRule="atLeast"/>
        </w:trPr>
        <w:tc>
          <w:tcPr>
            <w:tcW w:w="3965" w:type="dxa"/>
            <w:gridSpan w:val="2"/>
            <w:vMerge w:val="continue"/>
            <w:tcBorders>
              <w:bottom w:val="single" w:color="auto" w:sz="12" w:space="0"/>
            </w:tcBorders>
            <w:vAlign w:val="center"/>
          </w:tcPr>
          <w:p>
            <w:pPr>
              <w:snapToGrid w:val="0"/>
              <w:spacing w:line="400" w:lineRule="exact"/>
              <w:jc w:val="center"/>
              <w:rPr>
                <w:rFonts w:ascii="宋体"/>
                <w:kern w:val="0"/>
                <w:szCs w:val="21"/>
              </w:rPr>
            </w:pPr>
          </w:p>
        </w:tc>
        <w:tc>
          <w:tcPr>
            <w:tcW w:w="4935" w:type="dxa"/>
            <w:gridSpan w:val="5"/>
            <w:tcBorders>
              <w:bottom w:val="single" w:color="auto" w:sz="12" w:space="0"/>
            </w:tcBorders>
            <w:vAlign w:val="center"/>
          </w:tcPr>
          <w:p>
            <w:pPr>
              <w:snapToGrid w:val="0"/>
              <w:spacing w:line="400" w:lineRule="exact"/>
              <w:jc w:val="left"/>
              <w:rPr>
                <w:rFonts w:ascii="宋体"/>
                <w:kern w:val="0"/>
                <w:szCs w:val="21"/>
              </w:rPr>
            </w:pPr>
            <w:r>
              <w:rPr>
                <w:rFonts w:hint="eastAsia" w:ascii="宋体" w:hAnsi="宋体"/>
                <w:kern w:val="0"/>
                <w:szCs w:val="21"/>
              </w:rPr>
              <w:t>小写：</w:t>
            </w:r>
          </w:p>
        </w:tc>
      </w:tr>
    </w:tbl>
    <w:p>
      <w:pPr>
        <w:adjustRightInd w:val="0"/>
        <w:snapToGrid w:val="0"/>
        <w:spacing w:line="360" w:lineRule="auto"/>
        <w:ind w:firstLine="520" w:firstLineChars="200"/>
        <w:jc w:val="left"/>
        <w:rPr>
          <w:rFonts w:ascii="宋体" w:hAnsi="宋体" w:cs="宋体"/>
          <w:spacing w:val="10"/>
          <w:sz w:val="24"/>
        </w:rPr>
      </w:pPr>
      <w:r>
        <w:rPr>
          <w:rFonts w:hint="eastAsia" w:ascii="宋体" w:hAnsi="宋体" w:cs="宋体"/>
          <w:spacing w:val="10"/>
          <w:sz w:val="24"/>
        </w:rPr>
        <w:t>注：</w:t>
      </w:r>
    </w:p>
    <w:p>
      <w:pPr>
        <w:numPr>
          <w:ilvl w:val="0"/>
          <w:numId w:val="6"/>
        </w:numPr>
        <w:adjustRightInd w:val="0"/>
        <w:snapToGrid w:val="0"/>
        <w:spacing w:line="360" w:lineRule="auto"/>
        <w:ind w:firstLine="520" w:firstLineChars="200"/>
        <w:jc w:val="left"/>
      </w:pPr>
      <w:r>
        <w:rPr>
          <w:rFonts w:hint="eastAsia" w:ascii="宋体" w:hAnsi="宋体" w:cs="宋体"/>
          <w:spacing w:val="10"/>
          <w:sz w:val="24"/>
        </w:rPr>
        <w:t>上表中的设备价格为运送到指定的供货地点的包含一切费用的价格。</w:t>
      </w:r>
    </w:p>
    <w:p>
      <w:pPr>
        <w:numPr>
          <w:ilvl w:val="0"/>
          <w:numId w:val="6"/>
        </w:numPr>
        <w:adjustRightInd w:val="0"/>
        <w:snapToGrid w:val="0"/>
        <w:spacing w:line="360" w:lineRule="auto"/>
        <w:ind w:firstLine="480" w:firstLineChars="200"/>
        <w:jc w:val="left"/>
      </w:pPr>
      <w:r>
        <w:rPr>
          <w:rFonts w:hint="eastAsia" w:ascii="宋体" w:hAnsi="宋体"/>
          <w:sz w:val="24"/>
        </w:rPr>
        <w:t>此表仅为格式示例</w:t>
      </w:r>
      <w:r>
        <w:rPr>
          <w:rFonts w:ascii="宋体"/>
          <w:sz w:val="24"/>
        </w:rPr>
        <w:t>,</w:t>
      </w:r>
      <w:r>
        <w:rPr>
          <w:rFonts w:hint="eastAsia" w:ascii="宋体" w:hAnsi="宋体"/>
          <w:sz w:val="24"/>
        </w:rPr>
        <w:t>不具有约束性</w:t>
      </w:r>
      <w:r>
        <w:rPr>
          <w:rFonts w:ascii="宋体"/>
          <w:sz w:val="24"/>
        </w:rPr>
        <w:t>,</w:t>
      </w:r>
      <w:r>
        <w:rPr>
          <w:rFonts w:hint="eastAsia" w:ascii="宋体" w:hAnsi="宋体"/>
          <w:sz w:val="24"/>
        </w:rPr>
        <w:t>供应商可根据需要对表进行扩展或修改。</w:t>
      </w:r>
    </w:p>
    <w:p>
      <w:pPr>
        <w:jc w:val="center"/>
        <w:rPr>
          <w:rFonts w:ascii="宋体"/>
          <w:sz w:val="24"/>
        </w:rPr>
      </w:pPr>
    </w:p>
    <w:p>
      <w:pPr>
        <w:spacing w:before="312" w:beforeLines="100"/>
        <w:jc w:val="left"/>
        <w:rPr>
          <w:rFonts w:ascii="宋体"/>
          <w:sz w:val="24"/>
        </w:rPr>
      </w:pPr>
      <w:r>
        <w:rPr>
          <w:rFonts w:hint="eastAsia" w:ascii="宋体" w:hAnsi="宋体"/>
          <w:sz w:val="24"/>
        </w:rPr>
        <w:t>供应商（电子签章）：</w:t>
      </w:r>
    </w:p>
    <w:p>
      <w:pPr>
        <w:jc w:val="left"/>
        <w:rPr>
          <w:rFonts w:ascii="宋体"/>
          <w:sz w:val="24"/>
        </w:rPr>
      </w:pPr>
    </w:p>
    <w:p>
      <w:pPr>
        <w:jc w:val="left"/>
        <w:rPr>
          <w:rFonts w:ascii="宋体"/>
          <w:sz w:val="24"/>
        </w:rPr>
      </w:pPr>
    </w:p>
    <w:p>
      <w:pPr>
        <w:jc w:val="left"/>
        <w:rPr>
          <w:rFonts w:ascii="宋体"/>
          <w:sz w:val="24"/>
          <w:u w:val="single"/>
        </w:rPr>
      </w:pPr>
      <w:r>
        <w:rPr>
          <w:rFonts w:hint="eastAsia" w:ascii="宋体" w:hAnsi="宋体"/>
          <w:sz w:val="24"/>
        </w:rPr>
        <w:t>法定代表人或供应商代表（电子签章）：</w:t>
      </w:r>
    </w:p>
    <w:p>
      <w:pPr>
        <w:jc w:val="left"/>
        <w:rPr>
          <w:rFonts w:ascii="宋体"/>
          <w:sz w:val="24"/>
          <w:u w:val="single"/>
        </w:rPr>
      </w:pPr>
    </w:p>
    <w:p>
      <w:pPr>
        <w:jc w:val="left"/>
        <w:rPr>
          <w:rFonts w:ascii="宋体"/>
          <w:sz w:val="24"/>
          <w:u w:val="single"/>
        </w:rPr>
      </w:pPr>
    </w:p>
    <w:p>
      <w:pPr>
        <w:jc w:val="left"/>
        <w:rPr>
          <w:rFonts w:ascii="宋体"/>
          <w:sz w:val="24"/>
        </w:rPr>
      </w:pPr>
      <w:r>
        <w:rPr>
          <w:rFonts w:hint="eastAsia" w:ascii="宋体" w:hAnsi="宋体"/>
          <w:sz w:val="24"/>
        </w:rPr>
        <w:t>日期：   年    月    日</w:t>
      </w:r>
    </w:p>
    <w:p>
      <w:pPr>
        <w:rPr>
          <w:rFonts w:ascii="宋体"/>
          <w:sz w:val="24"/>
        </w:rPr>
      </w:pPr>
    </w:p>
    <w:p>
      <w:pPr>
        <w:spacing w:line="360" w:lineRule="auto"/>
        <w:rPr>
          <w:rFonts w:ascii="宋体"/>
          <w:sz w:val="24"/>
        </w:rPr>
      </w:pPr>
    </w:p>
    <w:p>
      <w:pPr>
        <w:pStyle w:val="2"/>
        <w:ind w:firstLine="560"/>
      </w:pPr>
    </w:p>
    <w:p>
      <w:pPr>
        <w:pStyle w:val="19"/>
        <w:ind w:firstLine="210"/>
      </w:pPr>
    </w:p>
    <w:p>
      <w:pPr>
        <w:pStyle w:val="19"/>
        <w:ind w:firstLine="210"/>
      </w:pPr>
    </w:p>
    <w:p>
      <w:pPr>
        <w:spacing w:line="360" w:lineRule="auto"/>
        <w:jc w:val="center"/>
        <w:rPr>
          <w:rFonts w:ascii="宋体"/>
          <w:sz w:val="24"/>
        </w:rPr>
      </w:pPr>
    </w:p>
    <w:p>
      <w:pPr>
        <w:numPr>
          <w:ilvl w:val="0"/>
          <w:numId w:val="7"/>
        </w:numPr>
        <w:jc w:val="center"/>
        <w:rPr>
          <w:rFonts w:ascii="黑体" w:hAnsi="黑体" w:eastAsia="黑体"/>
          <w:b/>
          <w:sz w:val="32"/>
          <w:szCs w:val="32"/>
        </w:rPr>
      </w:pPr>
      <w:r>
        <w:rPr>
          <w:rFonts w:hint="eastAsia" w:ascii="黑体" w:hAnsi="黑体" w:eastAsia="黑体"/>
          <w:b/>
          <w:sz w:val="32"/>
          <w:szCs w:val="32"/>
        </w:rPr>
        <w:t>偏离表</w:t>
      </w:r>
    </w:p>
    <w:tbl>
      <w:tblPr>
        <w:tblStyle w:val="20"/>
        <w:tblpPr w:leftFromText="180" w:rightFromText="180" w:vertAnchor="text" w:horzAnchor="page" w:tblpX="1616" w:tblpY="302"/>
        <w:tblOverlap w:val="never"/>
        <w:tblW w:w="92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88"/>
        <w:gridCol w:w="1762"/>
        <w:gridCol w:w="1763"/>
        <w:gridCol w:w="1762"/>
        <w:gridCol w:w="17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9" w:hRule="atLeast"/>
        </w:trPr>
        <w:tc>
          <w:tcPr>
            <w:tcW w:w="650" w:type="dxa"/>
            <w:tcBorders>
              <w:top w:val="single" w:color="auto" w:sz="12" w:space="0"/>
            </w:tcBorders>
            <w:vAlign w:val="center"/>
          </w:tcPr>
          <w:p>
            <w:pPr>
              <w:jc w:val="center"/>
              <w:rPr>
                <w:rFonts w:ascii="宋体"/>
                <w:szCs w:val="21"/>
              </w:rPr>
            </w:pPr>
            <w:r>
              <w:rPr>
                <w:rFonts w:hint="eastAsia" w:ascii="宋体" w:hAnsi="宋体"/>
                <w:szCs w:val="21"/>
              </w:rPr>
              <w:t>序号</w:t>
            </w:r>
          </w:p>
        </w:tc>
        <w:tc>
          <w:tcPr>
            <w:tcW w:w="1588" w:type="dxa"/>
            <w:tcBorders>
              <w:top w:val="single" w:color="auto" w:sz="12" w:space="0"/>
            </w:tcBorders>
            <w:vAlign w:val="center"/>
          </w:tcPr>
          <w:p>
            <w:pPr>
              <w:jc w:val="center"/>
              <w:rPr>
                <w:rFonts w:ascii="宋体"/>
                <w:szCs w:val="21"/>
              </w:rPr>
            </w:pPr>
            <w:r>
              <w:rPr>
                <w:rFonts w:hint="eastAsia" w:ascii="宋体" w:hAnsi="宋体"/>
                <w:szCs w:val="21"/>
              </w:rPr>
              <w:t>设备名称</w:t>
            </w:r>
          </w:p>
        </w:tc>
        <w:tc>
          <w:tcPr>
            <w:tcW w:w="1762" w:type="dxa"/>
            <w:tcBorders>
              <w:top w:val="single" w:color="auto" w:sz="12" w:space="0"/>
            </w:tcBorders>
            <w:vAlign w:val="center"/>
          </w:tcPr>
          <w:p>
            <w:pPr>
              <w:jc w:val="center"/>
              <w:rPr>
                <w:rFonts w:ascii="宋体"/>
                <w:szCs w:val="21"/>
              </w:rPr>
            </w:pPr>
            <w:r>
              <w:rPr>
                <w:rFonts w:hint="eastAsia" w:ascii="宋体" w:hAnsi="宋体"/>
                <w:szCs w:val="21"/>
              </w:rPr>
              <w:t>招标文件规格要求</w:t>
            </w:r>
          </w:p>
        </w:tc>
        <w:tc>
          <w:tcPr>
            <w:tcW w:w="1763" w:type="dxa"/>
            <w:tcBorders>
              <w:top w:val="single" w:color="auto" w:sz="12" w:space="0"/>
            </w:tcBorders>
            <w:vAlign w:val="center"/>
          </w:tcPr>
          <w:p>
            <w:pPr>
              <w:jc w:val="center"/>
              <w:rPr>
                <w:rFonts w:ascii="宋体"/>
                <w:szCs w:val="21"/>
              </w:rPr>
            </w:pPr>
            <w:r>
              <w:rPr>
                <w:rFonts w:hint="eastAsia" w:ascii="宋体" w:hAnsi="宋体"/>
                <w:szCs w:val="21"/>
              </w:rPr>
              <w:t>投标实际规格</w:t>
            </w:r>
          </w:p>
        </w:tc>
        <w:tc>
          <w:tcPr>
            <w:tcW w:w="1762" w:type="dxa"/>
            <w:tcBorders>
              <w:top w:val="single" w:color="auto" w:sz="12" w:space="0"/>
            </w:tcBorders>
            <w:vAlign w:val="center"/>
          </w:tcPr>
          <w:p>
            <w:pPr>
              <w:jc w:val="center"/>
              <w:rPr>
                <w:rFonts w:ascii="宋体"/>
                <w:szCs w:val="21"/>
              </w:rPr>
            </w:pPr>
            <w:r>
              <w:rPr>
                <w:rFonts w:hint="eastAsia" w:ascii="宋体" w:hAnsi="宋体"/>
                <w:szCs w:val="21"/>
              </w:rPr>
              <w:t>有无偏差</w:t>
            </w:r>
          </w:p>
        </w:tc>
        <w:tc>
          <w:tcPr>
            <w:tcW w:w="1763" w:type="dxa"/>
            <w:tcBorders>
              <w:top w:val="single" w:color="auto" w:sz="12" w:space="0"/>
            </w:tcBorders>
            <w:vAlign w:val="center"/>
          </w:tcPr>
          <w:p>
            <w:pPr>
              <w:jc w:val="center"/>
              <w:rPr>
                <w:rFonts w:ascii="宋体"/>
                <w:szCs w:val="21"/>
              </w:rPr>
            </w:pPr>
            <w:r>
              <w:rPr>
                <w:rFonts w:hint="eastAsia" w:ascii="宋体" w:hAnsi="宋体"/>
                <w:szCs w:val="21"/>
              </w:rPr>
              <w:t>偏差描述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650" w:type="dxa"/>
            <w:vAlign w:val="center"/>
          </w:tcPr>
          <w:p>
            <w:pPr>
              <w:jc w:val="center"/>
              <w:rPr>
                <w:rFonts w:ascii="宋体"/>
                <w:szCs w:val="21"/>
              </w:rPr>
            </w:pPr>
          </w:p>
        </w:tc>
        <w:tc>
          <w:tcPr>
            <w:tcW w:w="1588" w:type="dxa"/>
            <w:vAlign w:val="center"/>
          </w:tcPr>
          <w:p>
            <w:pPr>
              <w:spacing w:line="360" w:lineRule="auto"/>
              <w:ind w:left="50" w:right="-176" w:rightChars="-84" w:hanging="50" w:hangingChars="24"/>
              <w:rPr>
                <w:rFonts w:ascii="宋体"/>
                <w:szCs w:val="21"/>
              </w:rPr>
            </w:pPr>
          </w:p>
        </w:tc>
        <w:tc>
          <w:tcPr>
            <w:tcW w:w="1762" w:type="dxa"/>
            <w:vAlign w:val="center"/>
          </w:tcPr>
          <w:p>
            <w:pPr>
              <w:spacing w:line="360" w:lineRule="auto"/>
              <w:ind w:left="50" w:right="-176" w:rightChars="-84" w:hanging="50" w:hangingChars="24"/>
              <w:rPr>
                <w:rFonts w:ascii="宋体"/>
                <w:szCs w:val="21"/>
              </w:rPr>
            </w:pPr>
          </w:p>
        </w:tc>
        <w:tc>
          <w:tcPr>
            <w:tcW w:w="1763" w:type="dxa"/>
            <w:vAlign w:val="center"/>
          </w:tcPr>
          <w:p>
            <w:pPr>
              <w:jc w:val="center"/>
              <w:rPr>
                <w:rFonts w:ascii="宋体"/>
                <w:szCs w:val="21"/>
              </w:rPr>
            </w:pPr>
          </w:p>
        </w:tc>
        <w:tc>
          <w:tcPr>
            <w:tcW w:w="1762" w:type="dxa"/>
            <w:vAlign w:val="center"/>
          </w:tcPr>
          <w:p>
            <w:pPr>
              <w:jc w:val="center"/>
              <w:rPr>
                <w:rFonts w:ascii="宋体"/>
                <w:szCs w:val="21"/>
                <w:u w:val="single"/>
              </w:rPr>
            </w:pPr>
          </w:p>
        </w:tc>
        <w:tc>
          <w:tcPr>
            <w:tcW w:w="1763" w:type="dxa"/>
            <w:vAlign w:val="center"/>
          </w:tcPr>
          <w:p>
            <w:pPr>
              <w:jc w:val="center"/>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650" w:type="dxa"/>
            <w:vAlign w:val="center"/>
          </w:tcPr>
          <w:p>
            <w:pPr>
              <w:jc w:val="center"/>
              <w:rPr>
                <w:rFonts w:ascii="宋体"/>
                <w:szCs w:val="21"/>
              </w:rPr>
            </w:pPr>
          </w:p>
        </w:tc>
        <w:tc>
          <w:tcPr>
            <w:tcW w:w="1588" w:type="dxa"/>
            <w:vAlign w:val="center"/>
          </w:tcPr>
          <w:p>
            <w:pPr>
              <w:spacing w:line="360" w:lineRule="auto"/>
              <w:ind w:left="-109" w:leftChars="-52" w:right="-176" w:rightChars="-84"/>
              <w:jc w:val="center"/>
              <w:rPr>
                <w:rFonts w:ascii="宋体"/>
                <w:szCs w:val="21"/>
              </w:rPr>
            </w:pPr>
          </w:p>
        </w:tc>
        <w:tc>
          <w:tcPr>
            <w:tcW w:w="1762" w:type="dxa"/>
            <w:vAlign w:val="center"/>
          </w:tcPr>
          <w:p>
            <w:pPr>
              <w:spacing w:line="360" w:lineRule="auto"/>
              <w:ind w:left="-109" w:leftChars="-52" w:right="-176" w:rightChars="-84"/>
              <w:jc w:val="center"/>
              <w:rPr>
                <w:rFonts w:ascii="宋体"/>
                <w:szCs w:val="21"/>
              </w:rPr>
            </w:pPr>
          </w:p>
        </w:tc>
        <w:tc>
          <w:tcPr>
            <w:tcW w:w="1763" w:type="dxa"/>
            <w:vAlign w:val="center"/>
          </w:tcPr>
          <w:p>
            <w:pPr>
              <w:ind w:left="-109" w:leftChars="-52"/>
              <w:jc w:val="center"/>
              <w:rPr>
                <w:rFonts w:ascii="宋体"/>
                <w:szCs w:val="21"/>
                <w:u w:val="single"/>
              </w:rPr>
            </w:pPr>
          </w:p>
        </w:tc>
        <w:tc>
          <w:tcPr>
            <w:tcW w:w="1762" w:type="dxa"/>
            <w:vAlign w:val="center"/>
          </w:tcPr>
          <w:p>
            <w:pPr>
              <w:ind w:firstLine="1155" w:firstLineChars="550"/>
              <w:rPr>
                <w:rFonts w:ascii="宋体"/>
                <w:szCs w:val="21"/>
                <w:u w:val="single"/>
              </w:rPr>
            </w:pPr>
          </w:p>
        </w:tc>
        <w:tc>
          <w:tcPr>
            <w:tcW w:w="1763" w:type="dxa"/>
            <w:vAlign w:val="center"/>
          </w:tcPr>
          <w:p>
            <w:pPr>
              <w:ind w:firstLine="1155" w:firstLineChars="5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650" w:type="dxa"/>
            <w:vAlign w:val="center"/>
          </w:tcPr>
          <w:p>
            <w:pPr>
              <w:jc w:val="center"/>
              <w:rPr>
                <w:rFonts w:ascii="宋体"/>
                <w:szCs w:val="21"/>
              </w:rPr>
            </w:pPr>
          </w:p>
        </w:tc>
        <w:tc>
          <w:tcPr>
            <w:tcW w:w="1588" w:type="dxa"/>
            <w:vAlign w:val="center"/>
          </w:tcPr>
          <w:p>
            <w:pPr>
              <w:spacing w:line="360" w:lineRule="auto"/>
              <w:ind w:left="-109" w:leftChars="-52" w:right="-176" w:rightChars="-84"/>
              <w:jc w:val="center"/>
              <w:rPr>
                <w:rFonts w:ascii="宋体"/>
                <w:szCs w:val="21"/>
              </w:rPr>
            </w:pPr>
          </w:p>
        </w:tc>
        <w:tc>
          <w:tcPr>
            <w:tcW w:w="1762" w:type="dxa"/>
            <w:vAlign w:val="center"/>
          </w:tcPr>
          <w:p>
            <w:pPr>
              <w:spacing w:line="360" w:lineRule="auto"/>
              <w:ind w:left="-109" w:leftChars="-52" w:right="-176" w:rightChars="-84"/>
              <w:jc w:val="center"/>
              <w:rPr>
                <w:rFonts w:ascii="宋体"/>
                <w:szCs w:val="21"/>
              </w:rPr>
            </w:pPr>
          </w:p>
        </w:tc>
        <w:tc>
          <w:tcPr>
            <w:tcW w:w="1763" w:type="dxa"/>
            <w:vAlign w:val="center"/>
          </w:tcPr>
          <w:p>
            <w:pPr>
              <w:ind w:left="-109" w:leftChars="-52"/>
              <w:jc w:val="center"/>
              <w:rPr>
                <w:rFonts w:ascii="宋体"/>
                <w:szCs w:val="21"/>
                <w:u w:val="single"/>
              </w:rPr>
            </w:pPr>
          </w:p>
        </w:tc>
        <w:tc>
          <w:tcPr>
            <w:tcW w:w="1762" w:type="dxa"/>
            <w:vAlign w:val="center"/>
          </w:tcPr>
          <w:p>
            <w:pPr>
              <w:ind w:firstLine="1155" w:firstLineChars="550"/>
              <w:rPr>
                <w:rFonts w:ascii="宋体"/>
                <w:szCs w:val="21"/>
                <w:u w:val="single"/>
              </w:rPr>
            </w:pPr>
          </w:p>
        </w:tc>
        <w:tc>
          <w:tcPr>
            <w:tcW w:w="1763" w:type="dxa"/>
            <w:vAlign w:val="center"/>
          </w:tcPr>
          <w:p>
            <w:pPr>
              <w:ind w:firstLine="1155" w:firstLineChars="5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650" w:type="dxa"/>
            <w:vAlign w:val="center"/>
          </w:tcPr>
          <w:p>
            <w:pPr>
              <w:jc w:val="center"/>
              <w:rPr>
                <w:rFonts w:ascii="宋体"/>
                <w:szCs w:val="21"/>
              </w:rPr>
            </w:pPr>
          </w:p>
        </w:tc>
        <w:tc>
          <w:tcPr>
            <w:tcW w:w="1588" w:type="dxa"/>
            <w:vAlign w:val="center"/>
          </w:tcPr>
          <w:p>
            <w:pPr>
              <w:jc w:val="center"/>
              <w:rPr>
                <w:rFonts w:ascii="宋体"/>
                <w:szCs w:val="21"/>
              </w:rPr>
            </w:pPr>
          </w:p>
        </w:tc>
        <w:tc>
          <w:tcPr>
            <w:tcW w:w="1762" w:type="dxa"/>
            <w:vAlign w:val="center"/>
          </w:tcPr>
          <w:p>
            <w:pPr>
              <w:jc w:val="center"/>
              <w:rPr>
                <w:rFonts w:ascii="宋体"/>
                <w:szCs w:val="21"/>
              </w:rPr>
            </w:pPr>
          </w:p>
        </w:tc>
        <w:tc>
          <w:tcPr>
            <w:tcW w:w="1763" w:type="dxa"/>
            <w:vAlign w:val="center"/>
          </w:tcPr>
          <w:p>
            <w:pPr>
              <w:rPr>
                <w:rFonts w:ascii="宋体"/>
                <w:szCs w:val="21"/>
              </w:rPr>
            </w:pPr>
          </w:p>
        </w:tc>
        <w:tc>
          <w:tcPr>
            <w:tcW w:w="1762" w:type="dxa"/>
            <w:vAlign w:val="center"/>
          </w:tcPr>
          <w:p>
            <w:pPr>
              <w:rPr>
                <w:rFonts w:ascii="宋体"/>
                <w:szCs w:val="21"/>
              </w:rPr>
            </w:pPr>
          </w:p>
        </w:tc>
        <w:tc>
          <w:tcPr>
            <w:tcW w:w="1763" w:type="dxa"/>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650" w:type="dxa"/>
            <w:tcBorders>
              <w:bottom w:val="single" w:color="auto" w:sz="12" w:space="0"/>
            </w:tcBorders>
            <w:vAlign w:val="center"/>
          </w:tcPr>
          <w:p>
            <w:pPr>
              <w:jc w:val="center"/>
              <w:rPr>
                <w:rFonts w:ascii="宋体"/>
                <w:szCs w:val="21"/>
              </w:rPr>
            </w:pPr>
          </w:p>
        </w:tc>
        <w:tc>
          <w:tcPr>
            <w:tcW w:w="1588" w:type="dxa"/>
            <w:tcBorders>
              <w:bottom w:val="single" w:color="auto" w:sz="12" w:space="0"/>
            </w:tcBorders>
            <w:vAlign w:val="center"/>
          </w:tcPr>
          <w:p>
            <w:pPr>
              <w:jc w:val="center"/>
              <w:rPr>
                <w:rFonts w:ascii="宋体"/>
                <w:szCs w:val="21"/>
              </w:rPr>
            </w:pPr>
          </w:p>
        </w:tc>
        <w:tc>
          <w:tcPr>
            <w:tcW w:w="1762" w:type="dxa"/>
            <w:tcBorders>
              <w:bottom w:val="single" w:color="auto" w:sz="12" w:space="0"/>
            </w:tcBorders>
            <w:vAlign w:val="center"/>
          </w:tcPr>
          <w:p>
            <w:pPr>
              <w:jc w:val="center"/>
              <w:rPr>
                <w:rFonts w:ascii="宋体"/>
                <w:szCs w:val="21"/>
              </w:rPr>
            </w:pPr>
          </w:p>
        </w:tc>
        <w:tc>
          <w:tcPr>
            <w:tcW w:w="1763" w:type="dxa"/>
            <w:tcBorders>
              <w:bottom w:val="single" w:color="auto" w:sz="12" w:space="0"/>
            </w:tcBorders>
            <w:vAlign w:val="center"/>
          </w:tcPr>
          <w:p>
            <w:pPr>
              <w:rPr>
                <w:rFonts w:ascii="宋体"/>
                <w:szCs w:val="21"/>
              </w:rPr>
            </w:pPr>
          </w:p>
        </w:tc>
        <w:tc>
          <w:tcPr>
            <w:tcW w:w="1762" w:type="dxa"/>
            <w:tcBorders>
              <w:bottom w:val="single" w:color="auto" w:sz="12" w:space="0"/>
            </w:tcBorders>
            <w:vAlign w:val="center"/>
          </w:tcPr>
          <w:p>
            <w:pPr>
              <w:rPr>
                <w:rFonts w:ascii="宋体"/>
                <w:szCs w:val="21"/>
              </w:rPr>
            </w:pPr>
          </w:p>
        </w:tc>
        <w:tc>
          <w:tcPr>
            <w:tcW w:w="1763" w:type="dxa"/>
            <w:tcBorders>
              <w:bottom w:val="single" w:color="auto" w:sz="12" w:space="0"/>
            </w:tcBorders>
            <w:vAlign w:val="center"/>
          </w:tcPr>
          <w:p>
            <w:pPr>
              <w:rPr>
                <w:rFonts w:ascii="宋体"/>
                <w:szCs w:val="21"/>
              </w:rPr>
            </w:pPr>
          </w:p>
        </w:tc>
      </w:tr>
    </w:tbl>
    <w:p>
      <w:pPr>
        <w:jc w:val="left"/>
        <w:rPr>
          <w:rFonts w:ascii="宋体"/>
          <w:sz w:val="24"/>
          <w:u w:val="single"/>
        </w:rPr>
      </w:pPr>
    </w:p>
    <w:p>
      <w:pPr>
        <w:ind w:left="-315" w:leftChars="-150" w:right="-378" w:rightChars="-180"/>
        <w:rPr>
          <w:rFonts w:ascii="宋体"/>
          <w:b/>
          <w:sz w:val="24"/>
        </w:rPr>
      </w:pPr>
    </w:p>
    <w:p>
      <w:pPr>
        <w:spacing w:line="360" w:lineRule="auto"/>
        <w:jc w:val="left"/>
        <w:rPr>
          <w:rFonts w:ascii="宋体"/>
          <w:sz w:val="24"/>
        </w:rPr>
      </w:pPr>
      <w:r>
        <w:rPr>
          <w:rFonts w:hint="eastAsia" w:ascii="宋体" w:hAnsi="宋体"/>
          <w:sz w:val="24"/>
        </w:rPr>
        <w:t>备注：</w:t>
      </w:r>
    </w:p>
    <w:p>
      <w:pPr>
        <w:spacing w:line="360" w:lineRule="auto"/>
        <w:jc w:val="left"/>
        <w:rPr>
          <w:rFonts w:ascii="宋体"/>
          <w:sz w:val="24"/>
        </w:rPr>
      </w:pPr>
      <w:r>
        <w:rPr>
          <w:rFonts w:ascii="宋体" w:hAnsi="宋体"/>
          <w:sz w:val="24"/>
        </w:rPr>
        <w:t xml:space="preserve">   1</w:t>
      </w:r>
      <w:r>
        <w:rPr>
          <w:rFonts w:hint="eastAsia" w:ascii="宋体" w:hAnsi="宋体"/>
          <w:sz w:val="24"/>
        </w:rPr>
        <w:t>、可增加附页；</w:t>
      </w:r>
    </w:p>
    <w:p>
      <w:pPr>
        <w:spacing w:line="360" w:lineRule="auto"/>
        <w:jc w:val="left"/>
        <w:rPr>
          <w:rFonts w:ascii="宋体"/>
          <w:sz w:val="24"/>
        </w:rPr>
      </w:pPr>
      <w:r>
        <w:rPr>
          <w:rFonts w:ascii="宋体" w:hAnsi="宋体"/>
          <w:sz w:val="24"/>
        </w:rPr>
        <w:t xml:space="preserve">   2</w:t>
      </w:r>
      <w:r>
        <w:rPr>
          <w:rFonts w:hint="eastAsia" w:ascii="宋体" w:hAnsi="宋体"/>
          <w:sz w:val="24"/>
        </w:rPr>
        <w:t>、“有无偏差”一栏中应填写正偏差、无偏差或负偏差，不应填写其他内容；</w:t>
      </w:r>
    </w:p>
    <w:p>
      <w:pPr>
        <w:spacing w:line="360" w:lineRule="auto"/>
        <w:jc w:val="left"/>
        <w:rPr>
          <w:rFonts w:ascii="宋体"/>
          <w:sz w:val="24"/>
        </w:rPr>
      </w:pPr>
      <w:r>
        <w:rPr>
          <w:rFonts w:ascii="宋体" w:hAnsi="宋体"/>
          <w:sz w:val="24"/>
        </w:rPr>
        <w:t xml:space="preserve">   3</w:t>
      </w:r>
      <w:r>
        <w:rPr>
          <w:rFonts w:hint="eastAsia" w:ascii="宋体" w:hAnsi="宋体"/>
          <w:sz w:val="24"/>
        </w:rPr>
        <w:t>、“偏差描述”一栏中由供应商对所投产品的规格参数对应招标文件要求就偏差之处作以重点描述。</w:t>
      </w:r>
    </w:p>
    <w:p>
      <w:pPr>
        <w:tabs>
          <w:tab w:val="left" w:pos="8820"/>
        </w:tabs>
        <w:snapToGrid w:val="0"/>
        <w:spacing w:line="360" w:lineRule="auto"/>
        <w:ind w:right="-176" w:rightChars="-84"/>
        <w:rPr>
          <w:sz w:val="24"/>
        </w:rPr>
      </w:pPr>
    </w:p>
    <w:p>
      <w:pPr>
        <w:jc w:val="left"/>
        <w:rPr>
          <w:rFonts w:ascii="宋体"/>
          <w:szCs w:val="21"/>
        </w:rPr>
      </w:pPr>
    </w:p>
    <w:p>
      <w:pPr>
        <w:ind w:firstLine="4800" w:firstLineChars="2000"/>
        <w:jc w:val="left"/>
        <w:rPr>
          <w:rFonts w:ascii="宋体"/>
          <w:sz w:val="24"/>
        </w:rPr>
      </w:pPr>
      <w:r>
        <w:rPr>
          <w:rFonts w:hint="eastAsia" w:ascii="宋体" w:hAnsi="宋体"/>
          <w:sz w:val="24"/>
        </w:rPr>
        <w:t>供应商（电子签章）：</w:t>
      </w:r>
    </w:p>
    <w:p>
      <w:pPr>
        <w:jc w:val="left"/>
        <w:rPr>
          <w:rFonts w:ascii="宋体"/>
          <w:sz w:val="24"/>
        </w:rPr>
      </w:pPr>
    </w:p>
    <w:p>
      <w:pPr>
        <w:jc w:val="left"/>
        <w:rPr>
          <w:rFonts w:ascii="宋体"/>
          <w:sz w:val="24"/>
        </w:rPr>
      </w:pPr>
    </w:p>
    <w:p>
      <w:pPr>
        <w:ind w:firstLine="2880" w:firstLineChars="1200"/>
        <w:jc w:val="left"/>
        <w:rPr>
          <w:rFonts w:ascii="宋体"/>
          <w:sz w:val="24"/>
          <w:u w:val="single"/>
        </w:rPr>
      </w:pPr>
      <w:r>
        <w:rPr>
          <w:rFonts w:hint="eastAsia" w:ascii="宋体" w:hAnsi="宋体"/>
          <w:sz w:val="24"/>
        </w:rPr>
        <w:t>法定代表人或供应商代表（电子签章）：</w:t>
      </w:r>
    </w:p>
    <w:p>
      <w:pPr>
        <w:jc w:val="left"/>
        <w:rPr>
          <w:rFonts w:ascii="宋体"/>
          <w:sz w:val="24"/>
          <w:u w:val="single"/>
        </w:rPr>
      </w:pPr>
    </w:p>
    <w:p>
      <w:pPr>
        <w:jc w:val="left"/>
        <w:rPr>
          <w:rFonts w:ascii="宋体"/>
          <w:sz w:val="24"/>
          <w:u w:val="single"/>
        </w:rPr>
      </w:pPr>
    </w:p>
    <w:p>
      <w:pPr>
        <w:ind w:firstLine="4800" w:firstLineChars="2000"/>
        <w:jc w:val="left"/>
        <w:rPr>
          <w:rFonts w:ascii="宋体"/>
          <w:sz w:val="24"/>
        </w:rPr>
      </w:pPr>
      <w:r>
        <w:rPr>
          <w:rFonts w:hint="eastAsia" w:ascii="宋体" w:hAnsi="宋体"/>
          <w:sz w:val="24"/>
        </w:rPr>
        <w:t>日期：   年  月  日</w:t>
      </w:r>
    </w:p>
    <w:p>
      <w:pPr>
        <w:ind w:firstLine="2164" w:firstLineChars="902"/>
        <w:outlineLvl w:val="0"/>
        <w:rPr>
          <w:rFonts w:ascii="宋体"/>
          <w:sz w:val="24"/>
        </w:rPr>
      </w:pPr>
    </w:p>
    <w:p>
      <w:pPr>
        <w:rPr>
          <w:rFonts w:ascii="宋体"/>
          <w:sz w:val="24"/>
        </w:rPr>
      </w:pPr>
    </w:p>
    <w:p>
      <w:pPr>
        <w:pStyle w:val="2"/>
        <w:ind w:firstLine="560"/>
      </w:pPr>
    </w:p>
    <w:p>
      <w:pPr>
        <w:widowControl/>
        <w:jc w:val="center"/>
      </w:pPr>
      <w:r>
        <w:rPr>
          <w:rFonts w:hint="eastAsia" w:ascii="宋体" w:hAnsi="宋体" w:cs="宋体"/>
          <w:b/>
          <w:kern w:val="0"/>
          <w:sz w:val="31"/>
          <w:szCs w:val="31"/>
          <w:lang w:bidi="ar"/>
        </w:rPr>
        <w:t>五．售后服务承诺</w:t>
      </w:r>
    </w:p>
    <w:p>
      <w:pPr>
        <w:widowControl/>
        <w:spacing w:line="440" w:lineRule="exact"/>
        <w:jc w:val="left"/>
      </w:pPr>
      <w:r>
        <w:rPr>
          <w:rFonts w:hint="eastAsia" w:ascii="宋体" w:hAnsi="宋体" w:cs="宋体"/>
          <w:color w:val="000000"/>
          <w:kern w:val="0"/>
          <w:sz w:val="24"/>
          <w:lang w:bidi="ar"/>
        </w:rPr>
        <w:t xml:space="preserve">1、详细说明售后服务的内容、形式，含免费维修时间、解决质量或操作问题的 </w:t>
      </w:r>
    </w:p>
    <w:p>
      <w:pPr>
        <w:widowControl/>
        <w:spacing w:line="440" w:lineRule="exact"/>
        <w:jc w:val="left"/>
      </w:pPr>
      <w:r>
        <w:rPr>
          <w:rFonts w:hint="eastAsia" w:ascii="宋体" w:hAnsi="宋体" w:cs="宋体"/>
          <w:color w:val="000000"/>
          <w:kern w:val="0"/>
          <w:sz w:val="24"/>
          <w:lang w:bidi="ar"/>
        </w:rPr>
        <w:t xml:space="preserve">响应时间、解决问题时间、维修单位名称、地点。 </w:t>
      </w:r>
    </w:p>
    <w:p>
      <w:pPr>
        <w:widowControl/>
        <w:spacing w:line="440" w:lineRule="exact"/>
        <w:jc w:val="left"/>
      </w:pPr>
      <w:r>
        <w:rPr>
          <w:rFonts w:hint="eastAsia" w:ascii="宋体" w:hAnsi="宋体" w:cs="宋体"/>
          <w:color w:val="000000"/>
          <w:kern w:val="0"/>
          <w:sz w:val="24"/>
          <w:lang w:bidi="ar"/>
        </w:rPr>
        <w:t xml:space="preserve">2、维修技术人员情况。 </w:t>
      </w:r>
    </w:p>
    <w:p>
      <w:pPr>
        <w:widowControl/>
        <w:spacing w:line="440" w:lineRule="exact"/>
        <w:jc w:val="left"/>
      </w:pPr>
      <w:r>
        <w:rPr>
          <w:rFonts w:hint="eastAsia" w:ascii="宋体" w:hAnsi="宋体" w:cs="宋体"/>
          <w:color w:val="000000"/>
          <w:kern w:val="0"/>
          <w:sz w:val="24"/>
          <w:lang w:bidi="ar"/>
        </w:rPr>
        <w:t xml:space="preserve">3、应急维修时间安排。 </w:t>
      </w:r>
    </w:p>
    <w:p>
      <w:pPr>
        <w:widowControl/>
        <w:spacing w:line="440" w:lineRule="exact"/>
        <w:jc w:val="left"/>
      </w:pPr>
      <w:r>
        <w:rPr>
          <w:rFonts w:hint="eastAsia" w:ascii="宋体" w:hAnsi="宋体" w:cs="宋体"/>
          <w:color w:val="000000"/>
          <w:kern w:val="0"/>
          <w:sz w:val="24"/>
          <w:lang w:bidi="ar"/>
        </w:rPr>
        <w:t xml:space="preserve">4、该项目所提供的其他免费物品或服务。 </w:t>
      </w:r>
    </w:p>
    <w:p>
      <w:pPr>
        <w:widowControl/>
        <w:spacing w:line="440" w:lineRule="exact"/>
        <w:jc w:val="left"/>
      </w:pPr>
      <w:r>
        <w:rPr>
          <w:rFonts w:hint="eastAsia" w:ascii="宋体" w:hAnsi="宋体" w:cs="宋体"/>
          <w:color w:val="000000"/>
          <w:kern w:val="0"/>
          <w:sz w:val="24"/>
          <w:lang w:bidi="ar"/>
        </w:rPr>
        <w:t xml:space="preserve">5、收费项目的收费标准及主要零配件价格。 </w:t>
      </w:r>
    </w:p>
    <w:p>
      <w:pPr>
        <w:widowControl/>
        <w:spacing w:line="440" w:lineRule="exact"/>
        <w:jc w:val="left"/>
      </w:pPr>
      <w:r>
        <w:rPr>
          <w:rFonts w:hint="eastAsia" w:ascii="宋体" w:hAnsi="宋体" w:cs="宋体"/>
          <w:color w:val="000000"/>
          <w:kern w:val="0"/>
          <w:sz w:val="24"/>
          <w:lang w:bidi="ar"/>
        </w:rPr>
        <w:t xml:space="preserve">6、供应商认为需要说明的其他服务承诺。 </w:t>
      </w:r>
    </w:p>
    <w:p>
      <w:pPr>
        <w:widowControl/>
        <w:spacing w:line="440" w:lineRule="exact"/>
        <w:jc w:val="left"/>
        <w:rPr>
          <w:rFonts w:ascii="宋体" w:hAnsi="宋体" w:cs="宋体"/>
          <w:color w:val="000000"/>
          <w:kern w:val="0"/>
          <w:sz w:val="24"/>
          <w:lang w:bidi="ar"/>
        </w:rPr>
      </w:pPr>
    </w:p>
    <w:p>
      <w:pPr>
        <w:widowControl/>
        <w:spacing w:line="440" w:lineRule="exact"/>
        <w:jc w:val="left"/>
        <w:rPr>
          <w:rFonts w:ascii="宋体" w:hAnsi="宋体" w:cs="宋体"/>
          <w:color w:val="000000"/>
          <w:kern w:val="0"/>
          <w:sz w:val="24"/>
          <w:lang w:bidi="ar"/>
        </w:rPr>
      </w:pPr>
      <w:r>
        <w:rPr>
          <w:rFonts w:hint="eastAsia" w:ascii="宋体" w:hAnsi="宋体" w:cs="宋体"/>
          <w:color w:val="000000"/>
          <w:kern w:val="0"/>
          <w:sz w:val="24"/>
          <w:lang w:bidi="ar"/>
        </w:rPr>
        <w:t xml:space="preserve">供应商：（盖电子章） </w:t>
      </w:r>
    </w:p>
    <w:p>
      <w:pPr>
        <w:widowControl/>
        <w:spacing w:line="440" w:lineRule="exact"/>
        <w:jc w:val="left"/>
        <w:rPr>
          <w:rFonts w:ascii="宋体" w:hAnsi="宋体" w:cs="宋体"/>
          <w:color w:val="000000"/>
          <w:kern w:val="0"/>
          <w:sz w:val="24"/>
          <w:lang w:bidi="ar"/>
        </w:rPr>
      </w:pPr>
    </w:p>
    <w:p>
      <w:pPr>
        <w:widowControl/>
        <w:spacing w:line="440" w:lineRule="exact"/>
        <w:jc w:val="left"/>
        <w:rPr>
          <w:rFonts w:ascii="宋体" w:hAnsi="宋体" w:cs="宋体"/>
          <w:color w:val="000000"/>
          <w:kern w:val="0"/>
          <w:sz w:val="24"/>
          <w:lang w:bidi="ar"/>
        </w:rPr>
      </w:pPr>
      <w:r>
        <w:rPr>
          <w:rFonts w:hint="eastAsia" w:ascii="宋体" w:hAnsi="宋体" w:cs="宋体"/>
          <w:color w:val="000000"/>
          <w:kern w:val="0"/>
          <w:sz w:val="24"/>
          <w:lang w:bidi="ar"/>
        </w:rPr>
        <w:t xml:space="preserve">法定代表人或其委托代理人签字：（或盖电子章） </w:t>
      </w:r>
    </w:p>
    <w:p>
      <w:pPr>
        <w:widowControl/>
        <w:spacing w:line="440" w:lineRule="exact"/>
        <w:jc w:val="left"/>
        <w:rPr>
          <w:rFonts w:ascii="宋体" w:hAnsi="宋体" w:cs="宋体"/>
          <w:color w:val="000000"/>
          <w:kern w:val="0"/>
          <w:sz w:val="24"/>
          <w:lang w:bidi="ar"/>
        </w:rPr>
      </w:pPr>
    </w:p>
    <w:p>
      <w:pPr>
        <w:widowControl/>
        <w:spacing w:line="440" w:lineRule="exact"/>
        <w:jc w:val="left"/>
        <w:rPr>
          <w:rFonts w:ascii="宋体" w:hAnsi="宋体" w:cs="宋体"/>
          <w:color w:val="000000"/>
          <w:kern w:val="0"/>
          <w:sz w:val="24"/>
          <w:lang w:bidi="ar"/>
        </w:rPr>
      </w:pPr>
      <w:r>
        <w:rPr>
          <w:rFonts w:hint="eastAsia" w:ascii="宋体" w:hAnsi="宋体" w:cs="宋体"/>
          <w:color w:val="000000"/>
          <w:kern w:val="0"/>
          <w:sz w:val="24"/>
          <w:lang w:bidi="ar"/>
        </w:rPr>
        <w:t>日期： 年 月 日</w:t>
      </w:r>
    </w:p>
    <w:p>
      <w:pPr>
        <w:jc w:val="center"/>
        <w:rPr>
          <w:rFonts w:ascii="黑体" w:hAnsi="黑体" w:eastAsia="黑体"/>
          <w:b/>
          <w:sz w:val="32"/>
          <w:szCs w:val="32"/>
        </w:rPr>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jc w:val="center"/>
        <w:rPr>
          <w:rFonts w:ascii="黑体" w:hAnsi="黑体" w:eastAsia="黑体"/>
          <w:b/>
          <w:sz w:val="32"/>
          <w:szCs w:val="32"/>
        </w:rPr>
      </w:pPr>
      <w:r>
        <w:rPr>
          <w:rFonts w:hint="eastAsia" w:ascii="黑体" w:hAnsi="黑体" w:eastAsia="黑体"/>
          <w:b/>
          <w:sz w:val="32"/>
          <w:szCs w:val="32"/>
        </w:rPr>
        <w:t>六．法定代表人身份证明及授权委托书</w:t>
      </w:r>
    </w:p>
    <w:p>
      <w:pPr>
        <w:spacing w:line="360" w:lineRule="auto"/>
        <w:ind w:firstLine="480" w:firstLineChars="200"/>
        <w:rPr>
          <w:rFonts w:ascii="宋体"/>
          <w:sz w:val="24"/>
        </w:rPr>
      </w:pPr>
    </w:p>
    <w:p>
      <w:pPr>
        <w:spacing w:line="440" w:lineRule="exact"/>
        <w:jc w:val="center"/>
        <w:rPr>
          <w:rFonts w:ascii="宋体"/>
          <w:b/>
          <w:sz w:val="28"/>
          <w:szCs w:val="28"/>
        </w:rPr>
      </w:pPr>
      <w:r>
        <w:rPr>
          <w:rFonts w:hint="eastAsia" w:ascii="宋体" w:hAnsi="宋体"/>
          <w:b/>
          <w:sz w:val="28"/>
          <w:szCs w:val="28"/>
        </w:rPr>
        <w:t>（一）、法定代表人身份证明</w:t>
      </w:r>
    </w:p>
    <w:p>
      <w:pPr>
        <w:spacing w:line="440" w:lineRule="exact"/>
        <w:jc w:val="center"/>
        <w:rPr>
          <w:rFonts w:ascii="黑体" w:hAnsi="黑体" w:eastAsia="黑体"/>
          <w:b/>
          <w:sz w:val="28"/>
          <w:szCs w:val="28"/>
        </w:rPr>
      </w:pPr>
    </w:p>
    <w:p>
      <w:pPr>
        <w:spacing w:line="600" w:lineRule="exact"/>
        <w:ind w:firstLine="720" w:firstLineChars="300"/>
        <w:rPr>
          <w:rFonts w:ascii="宋体"/>
          <w:sz w:val="24"/>
          <w:u w:val="single"/>
        </w:rPr>
      </w:pPr>
      <w:r>
        <w:rPr>
          <w:rFonts w:hint="eastAsia" w:ascii="宋体" w:hAnsi="宋体"/>
          <w:sz w:val="24"/>
        </w:rPr>
        <w:t>企业名称：</w:t>
      </w:r>
    </w:p>
    <w:p>
      <w:pPr>
        <w:spacing w:line="600" w:lineRule="exact"/>
        <w:ind w:firstLine="720" w:firstLineChars="300"/>
        <w:rPr>
          <w:rFonts w:ascii="宋体"/>
          <w:sz w:val="24"/>
          <w:u w:val="single"/>
        </w:rPr>
      </w:pPr>
      <w:r>
        <w:rPr>
          <w:rFonts w:hint="eastAsia" w:ascii="宋体" w:hAnsi="宋体"/>
          <w:sz w:val="24"/>
        </w:rPr>
        <w:t>地址：</w:t>
      </w:r>
    </w:p>
    <w:p>
      <w:pPr>
        <w:spacing w:line="600" w:lineRule="exact"/>
        <w:ind w:firstLine="720" w:firstLineChars="300"/>
        <w:rPr>
          <w:rFonts w:ascii="宋体"/>
          <w:sz w:val="24"/>
          <w:u w:val="single"/>
        </w:rPr>
      </w:pPr>
      <w:r>
        <w:rPr>
          <w:rFonts w:hint="eastAsia" w:ascii="宋体" w:hAnsi="宋体"/>
          <w:sz w:val="24"/>
        </w:rPr>
        <w:t>姓名：     性别：    职务：</w:t>
      </w:r>
    </w:p>
    <w:p>
      <w:pPr>
        <w:spacing w:line="600" w:lineRule="exact"/>
        <w:ind w:left="-718" w:leftChars="-342" w:firstLine="480" w:firstLineChars="200"/>
        <w:jc w:val="left"/>
        <w:rPr>
          <w:rFonts w:ascii="宋体"/>
          <w:sz w:val="24"/>
        </w:rPr>
      </w:pPr>
      <w:r>
        <w:rPr>
          <w:rFonts w:hint="eastAsia" w:ascii="宋体" w:hAnsi="宋体"/>
          <w:sz w:val="24"/>
        </w:rPr>
        <w:t>系</w:t>
      </w:r>
      <w:r>
        <w:rPr>
          <w:rFonts w:hint="eastAsia" w:ascii="宋体" w:hAnsi="宋体"/>
          <w:sz w:val="24"/>
          <w:u w:val="single"/>
        </w:rPr>
        <w:t>（供应商名称）</w:t>
      </w:r>
      <w:r>
        <w:rPr>
          <w:rFonts w:hint="eastAsia" w:ascii="宋体" w:hAnsi="宋体"/>
          <w:sz w:val="24"/>
        </w:rPr>
        <w:t>的法定代表人。能够为</w:t>
      </w:r>
      <w:r>
        <w:rPr>
          <w:rFonts w:hint="eastAsia" w:ascii="宋体" w:hAnsi="宋体"/>
          <w:sz w:val="24"/>
          <w:u w:val="single"/>
        </w:rPr>
        <w:t xml:space="preserve">           （项目名称）</w:t>
      </w:r>
      <w:r>
        <w:rPr>
          <w:rFonts w:hint="eastAsia" w:ascii="宋体" w:hAnsi="宋体"/>
          <w:sz w:val="24"/>
        </w:rPr>
        <w:t>签署投标文件，进行合同谈判、签署合同及处理与之有关的一切事务。</w:t>
      </w:r>
    </w:p>
    <w:p>
      <w:pPr>
        <w:spacing w:line="440" w:lineRule="exact"/>
        <w:ind w:left="242" w:leftChars="-342" w:hanging="960" w:hangingChars="400"/>
        <w:rPr>
          <w:rFonts w:ascii="宋体"/>
          <w:sz w:val="24"/>
        </w:rPr>
      </w:pPr>
    </w:p>
    <w:p>
      <w:pPr>
        <w:spacing w:line="440" w:lineRule="exact"/>
        <w:ind w:left="242" w:leftChars="-342" w:hanging="960" w:hangingChars="400"/>
        <w:rPr>
          <w:rFonts w:ascii="宋体"/>
          <w:sz w:val="24"/>
        </w:rPr>
      </w:pPr>
    </w:p>
    <w:p>
      <w:pPr>
        <w:spacing w:line="440" w:lineRule="exact"/>
        <w:ind w:left="242" w:leftChars="-342" w:hanging="960" w:hangingChars="400"/>
        <w:rPr>
          <w:rFonts w:ascii="宋体"/>
          <w:sz w:val="24"/>
        </w:rPr>
      </w:pPr>
    </w:p>
    <w:p>
      <w:pPr>
        <w:spacing w:line="440" w:lineRule="exact"/>
        <w:ind w:left="239" w:leftChars="99" w:hanging="31" w:hangingChars="13"/>
        <w:rPr>
          <w:rFonts w:ascii="宋体"/>
          <w:sz w:val="24"/>
        </w:rPr>
      </w:pPr>
      <w:r>
        <w:rPr>
          <w:rFonts w:hint="eastAsia" w:ascii="宋体" w:hAnsi="宋体"/>
          <w:sz w:val="24"/>
        </w:rPr>
        <w:t>特此证明。</w:t>
      </w:r>
    </w:p>
    <w:p>
      <w:pPr>
        <w:spacing w:line="440" w:lineRule="exact"/>
        <w:ind w:left="239" w:leftChars="99" w:hanging="31" w:hangingChars="13"/>
        <w:rPr>
          <w:rFonts w:ascii="宋体"/>
          <w:sz w:val="24"/>
        </w:rPr>
      </w:pPr>
    </w:p>
    <w:p>
      <w:pPr>
        <w:spacing w:line="440" w:lineRule="exact"/>
        <w:ind w:left="239" w:leftChars="99" w:hanging="31" w:hangingChars="13"/>
        <w:rPr>
          <w:rFonts w:ascii="宋体"/>
          <w:sz w:val="24"/>
        </w:rPr>
      </w:pPr>
    </w:p>
    <w:p>
      <w:pPr>
        <w:spacing w:line="440" w:lineRule="exact"/>
        <w:ind w:left="239" w:leftChars="99" w:hanging="31" w:hangingChars="13"/>
        <w:rPr>
          <w:rFonts w:ascii="宋体"/>
          <w:sz w:val="24"/>
        </w:rPr>
      </w:pPr>
    </w:p>
    <w:p>
      <w:pPr>
        <w:spacing w:line="440" w:lineRule="exact"/>
        <w:ind w:left="239" w:leftChars="99" w:hanging="31" w:hangingChars="13"/>
        <w:rPr>
          <w:rFonts w:ascii="宋体"/>
          <w:sz w:val="24"/>
        </w:rPr>
      </w:pPr>
    </w:p>
    <w:p>
      <w:pPr>
        <w:jc w:val="center"/>
        <w:rPr>
          <w:rFonts w:ascii="宋体"/>
          <w:sz w:val="24"/>
          <w:u w:val="single"/>
        </w:rPr>
      </w:pPr>
      <w:r>
        <w:rPr>
          <w:rFonts w:hint="eastAsia" w:ascii="宋体" w:hAnsi="宋体"/>
          <w:sz w:val="24"/>
        </w:rPr>
        <w:t xml:space="preserve">                                 供应商（电子签章）：</w:t>
      </w:r>
    </w:p>
    <w:p>
      <w:pPr>
        <w:jc w:val="right"/>
        <w:rPr>
          <w:rFonts w:ascii="宋体"/>
          <w:sz w:val="24"/>
          <w:u w:val="single"/>
        </w:rPr>
      </w:pPr>
    </w:p>
    <w:p>
      <w:pPr>
        <w:jc w:val="right"/>
        <w:rPr>
          <w:rFonts w:ascii="宋体"/>
          <w:sz w:val="24"/>
          <w:u w:val="single"/>
        </w:rPr>
      </w:pPr>
    </w:p>
    <w:p>
      <w:pPr>
        <w:jc w:val="center"/>
        <w:rPr>
          <w:rFonts w:ascii="宋体"/>
          <w:sz w:val="24"/>
        </w:rPr>
      </w:pPr>
      <w:r>
        <w:rPr>
          <w:rFonts w:hint="eastAsia" w:ascii="宋体" w:hAnsi="宋体"/>
          <w:sz w:val="24"/>
        </w:rPr>
        <w:t xml:space="preserve">                                日期：  年  月  日</w:t>
      </w: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pStyle w:val="19"/>
        <w:ind w:firstLine="210"/>
      </w:pPr>
    </w:p>
    <w:p>
      <w:pPr>
        <w:jc w:val="center"/>
        <w:rPr>
          <w:rFonts w:ascii="宋体"/>
          <w:sz w:val="24"/>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宋体" w:hAnsi="宋体"/>
          <w:b/>
          <w:sz w:val="28"/>
          <w:szCs w:val="28"/>
        </w:rPr>
        <w:t>（二）、</w:t>
      </w:r>
      <w:r>
        <w:rPr>
          <w:rFonts w:hint="eastAsia" w:ascii="黑体" w:hAnsi="黑体" w:eastAsia="黑体"/>
          <w:b/>
          <w:sz w:val="32"/>
          <w:szCs w:val="32"/>
        </w:rPr>
        <w:t>授权委托书</w:t>
      </w:r>
    </w:p>
    <w:p>
      <w:pPr>
        <w:spacing w:line="360" w:lineRule="auto"/>
        <w:ind w:firstLine="480" w:firstLineChars="200"/>
        <w:rPr>
          <w:rFonts w:ascii="宋体"/>
          <w:sz w:val="24"/>
        </w:rPr>
      </w:pPr>
    </w:p>
    <w:p>
      <w:pPr>
        <w:spacing w:line="440" w:lineRule="exact"/>
        <w:ind w:firstLine="480" w:firstLineChars="200"/>
        <w:rPr>
          <w:rFonts w:ascii="宋体"/>
          <w:sz w:val="24"/>
        </w:rPr>
      </w:pPr>
      <w:r>
        <w:rPr>
          <w:rFonts w:hint="eastAsia" w:ascii="宋体" w:hAnsi="宋体"/>
          <w:sz w:val="24"/>
        </w:rPr>
        <w:t>本人</w:t>
      </w:r>
      <w:r>
        <w:rPr>
          <w:rFonts w:hint="eastAsia" w:ascii="宋体" w:hAnsi="宋体"/>
          <w:sz w:val="24"/>
          <w:u w:val="single"/>
        </w:rPr>
        <w:t xml:space="preserve">    （姓名）</w:t>
      </w:r>
      <w:r>
        <w:rPr>
          <w:rFonts w:hint="eastAsia" w:ascii="宋体" w:hAnsi="宋体"/>
          <w:sz w:val="24"/>
        </w:rPr>
        <w:t>系</w:t>
      </w:r>
      <w:r>
        <w:rPr>
          <w:rFonts w:hint="eastAsia" w:ascii="宋体" w:hAnsi="宋体"/>
          <w:sz w:val="24"/>
          <w:u w:val="single"/>
        </w:rPr>
        <w:t xml:space="preserve">     （供应商名称）</w:t>
      </w:r>
      <w:r>
        <w:rPr>
          <w:rFonts w:hint="eastAsia" w:ascii="宋体" w:hAnsi="宋体"/>
          <w:sz w:val="24"/>
        </w:rPr>
        <w:t>的法定代表人，现委托</w:t>
      </w:r>
      <w:r>
        <w:rPr>
          <w:rFonts w:hint="eastAsia" w:ascii="宋体" w:hAnsi="宋体"/>
          <w:sz w:val="24"/>
          <w:u w:val="single"/>
        </w:rPr>
        <w:t xml:space="preserve">    （姓名）</w:t>
      </w:r>
      <w:r>
        <w:rPr>
          <w:rFonts w:hint="eastAsia" w:ascii="宋体" w:hAnsi="宋体"/>
          <w:sz w:val="24"/>
        </w:rPr>
        <w:t>为我方代理人。代理人根据授权，以我方名义签署、澄清、说明、补正、递交、撤回、修改</w:t>
      </w:r>
      <w:r>
        <w:rPr>
          <w:rFonts w:hint="eastAsia" w:ascii="宋体" w:hAnsi="宋体"/>
          <w:sz w:val="24"/>
          <w:u w:val="single"/>
        </w:rPr>
        <w:t xml:space="preserve">      （项目名称）</w:t>
      </w:r>
      <w:r>
        <w:rPr>
          <w:rFonts w:hint="eastAsia" w:ascii="宋体" w:hAnsi="宋体"/>
          <w:sz w:val="24"/>
        </w:rPr>
        <w:t>投标文件、签订合同和处理有关事宜，其法律后果由我方承担。</w:t>
      </w:r>
    </w:p>
    <w:p>
      <w:pPr>
        <w:spacing w:line="440" w:lineRule="exact"/>
        <w:ind w:firstLine="480" w:firstLineChars="200"/>
        <w:rPr>
          <w:rFonts w:ascii="宋体"/>
          <w:sz w:val="24"/>
        </w:rPr>
      </w:pPr>
      <w:r>
        <w:rPr>
          <w:rFonts w:hint="eastAsia" w:ascii="宋体" w:hAnsi="宋体"/>
          <w:sz w:val="24"/>
        </w:rPr>
        <w:t>委托期限：</w:t>
      </w:r>
      <w:r>
        <w:rPr>
          <w:rFonts w:hint="eastAsia" w:ascii="宋体" w:hAnsi="宋体"/>
          <w:sz w:val="24"/>
          <w:u w:val="single"/>
        </w:rPr>
        <w:t xml:space="preserve">             </w:t>
      </w:r>
      <w:r>
        <w:rPr>
          <w:rFonts w:hint="eastAsia" w:ascii="宋体" w:hAnsi="宋体"/>
          <w:sz w:val="24"/>
        </w:rPr>
        <w:t>。</w:t>
      </w:r>
    </w:p>
    <w:p>
      <w:pPr>
        <w:spacing w:line="440" w:lineRule="exact"/>
        <w:ind w:firstLine="480" w:firstLineChars="200"/>
        <w:rPr>
          <w:rFonts w:ascii="宋体"/>
          <w:sz w:val="24"/>
        </w:rPr>
      </w:pPr>
      <w:r>
        <w:rPr>
          <w:rFonts w:hint="eastAsia" w:ascii="宋体" w:hAnsi="宋体"/>
          <w:sz w:val="24"/>
        </w:rPr>
        <w:t>代理人无转委托权，特此证明。</w:t>
      </w:r>
    </w:p>
    <w:p>
      <w:pPr>
        <w:spacing w:line="440" w:lineRule="exact"/>
        <w:rPr>
          <w:rFonts w:ascii="宋体" w:hAnsi="宋体"/>
          <w:sz w:val="24"/>
        </w:rPr>
      </w:pPr>
      <w:r>
        <w:rPr>
          <w:rFonts w:hint="eastAsia" w:ascii="宋体" w:hAnsi="宋体"/>
          <w:sz w:val="24"/>
        </w:rPr>
        <w:t xml:space="preserve">附：1、法定代表人身份证复印件及法定代表人授权委托人身份证扫描件。 </w:t>
      </w:r>
    </w:p>
    <w:p>
      <w:pPr>
        <w:spacing w:line="440" w:lineRule="exact"/>
        <w:ind w:firstLine="480" w:firstLineChars="200"/>
        <w:rPr>
          <w:rFonts w:ascii="宋体" w:hAnsi="宋体"/>
          <w:sz w:val="24"/>
        </w:rPr>
      </w:pPr>
      <w:r>
        <w:rPr>
          <w:rFonts w:hint="eastAsia" w:ascii="宋体" w:hAnsi="宋体"/>
          <w:sz w:val="24"/>
        </w:rPr>
        <w:t xml:space="preserve">2、授权委托人 2019 年 1 月-2019 年 8 月社保查询证明扫描件及劳动合同扫描件。 </w:t>
      </w:r>
    </w:p>
    <w:p>
      <w:pPr>
        <w:spacing w:line="440" w:lineRule="exact"/>
        <w:rPr>
          <w:rFonts w:ascii="宋体" w:hAnsi="宋体"/>
          <w:sz w:val="24"/>
        </w:rPr>
      </w:pPr>
      <w:r>
        <w:rPr>
          <w:rFonts w:hint="eastAsia" w:ascii="宋体" w:hAnsi="宋体"/>
          <w:sz w:val="24"/>
        </w:rPr>
        <w:t>3、供应商“法定代表人”直接参加投标及签署相关文件的无须提供该授权委托书</w:t>
      </w:r>
    </w:p>
    <w:p>
      <w:pPr>
        <w:spacing w:line="440" w:lineRule="exact"/>
        <w:rPr>
          <w:rFonts w:ascii="宋体"/>
          <w:sz w:val="24"/>
        </w:rPr>
      </w:pPr>
    </w:p>
    <w:p>
      <w:pPr>
        <w:spacing w:line="600" w:lineRule="exact"/>
        <w:ind w:firstLine="1920" w:firstLineChars="800"/>
        <w:rPr>
          <w:rFonts w:ascii="宋体"/>
          <w:sz w:val="24"/>
        </w:rPr>
      </w:pPr>
      <w:r>
        <w:rPr>
          <w:rFonts w:hint="eastAsia" w:ascii="宋体" w:hAnsi="宋体"/>
          <w:sz w:val="24"/>
        </w:rPr>
        <w:t>供应商（电子签章）：</w:t>
      </w:r>
    </w:p>
    <w:p>
      <w:pPr>
        <w:spacing w:line="600" w:lineRule="exact"/>
        <w:ind w:firstLine="1920" w:firstLineChars="800"/>
        <w:rPr>
          <w:rFonts w:ascii="宋体"/>
          <w:sz w:val="24"/>
        </w:rPr>
      </w:pPr>
      <w:r>
        <w:rPr>
          <w:rFonts w:hint="eastAsia" w:ascii="宋体" w:hAnsi="宋体"/>
          <w:sz w:val="24"/>
        </w:rPr>
        <w:t>法定代表人（电子签章）：</w:t>
      </w:r>
    </w:p>
    <w:p>
      <w:pPr>
        <w:spacing w:line="600" w:lineRule="exact"/>
        <w:ind w:firstLine="1920" w:firstLineChars="800"/>
        <w:rPr>
          <w:rFonts w:ascii="宋体"/>
          <w:sz w:val="24"/>
          <w:u w:val="single"/>
        </w:rPr>
      </w:pPr>
      <w:r>
        <w:rPr>
          <w:rFonts w:hint="eastAsia" w:ascii="宋体" w:hAnsi="宋体"/>
          <w:sz w:val="24"/>
        </w:rPr>
        <w:t>身份证号码：</w:t>
      </w:r>
    </w:p>
    <w:p>
      <w:pPr>
        <w:spacing w:line="600" w:lineRule="exact"/>
        <w:ind w:firstLine="1920" w:firstLineChars="800"/>
        <w:rPr>
          <w:rFonts w:ascii="宋体"/>
          <w:sz w:val="24"/>
          <w:u w:val="single"/>
        </w:rPr>
      </w:pPr>
      <w:r>
        <w:rPr>
          <w:rFonts w:hint="eastAsia" w:ascii="宋体" w:hAnsi="宋体"/>
          <w:sz w:val="24"/>
        </w:rPr>
        <w:t>委托代理人（电子签章）：</w:t>
      </w:r>
    </w:p>
    <w:p>
      <w:pPr>
        <w:spacing w:line="600" w:lineRule="exact"/>
        <w:ind w:firstLine="1920" w:firstLineChars="800"/>
        <w:rPr>
          <w:rFonts w:ascii="宋体"/>
          <w:sz w:val="24"/>
          <w:u w:val="single"/>
        </w:rPr>
      </w:pPr>
      <w:r>
        <w:rPr>
          <w:rFonts w:hint="eastAsia" w:ascii="宋体" w:hAnsi="宋体"/>
          <w:sz w:val="24"/>
        </w:rPr>
        <w:t>身份证号码：</w:t>
      </w:r>
    </w:p>
    <w:p>
      <w:pPr>
        <w:spacing w:line="440" w:lineRule="exact"/>
        <w:ind w:firstLine="2520" w:firstLineChars="1050"/>
        <w:rPr>
          <w:rFonts w:ascii="宋体"/>
          <w:sz w:val="24"/>
          <w:u w:val="single"/>
        </w:rPr>
      </w:pPr>
    </w:p>
    <w:p>
      <w:pPr>
        <w:spacing w:line="440" w:lineRule="exact"/>
        <w:ind w:firstLine="3480" w:firstLineChars="1450"/>
        <w:rPr>
          <w:rFonts w:ascii="宋体"/>
          <w:sz w:val="24"/>
        </w:rPr>
      </w:pPr>
      <w:r>
        <w:rPr>
          <w:rFonts w:hint="eastAsia" w:ascii="宋体" w:hAnsi="宋体"/>
          <w:sz w:val="24"/>
        </w:rPr>
        <w:t>日期：  年  月  日</w:t>
      </w:r>
    </w:p>
    <w:p>
      <w:pPr>
        <w:spacing w:line="360" w:lineRule="auto"/>
        <w:jc w:val="center"/>
        <w:rPr>
          <w:rFonts w:ascii="宋体"/>
          <w:szCs w:val="21"/>
        </w:rPr>
      </w:pPr>
    </w:p>
    <w:p>
      <w:pPr>
        <w:pBdr>
          <w:top w:val="single" w:color="auto" w:sz="4" w:space="0"/>
          <w:left w:val="single" w:color="auto" w:sz="4" w:space="0"/>
          <w:bottom w:val="single" w:color="auto" w:sz="4" w:space="0"/>
          <w:right w:val="single" w:color="auto" w:sz="4" w:space="0"/>
        </w:pBdr>
        <w:spacing w:line="360" w:lineRule="auto"/>
        <w:rPr>
          <w:rFonts w:ascii="宋体"/>
          <w:szCs w:val="21"/>
        </w:rPr>
      </w:pPr>
    </w:p>
    <w:p>
      <w:pPr>
        <w:pBdr>
          <w:top w:val="single" w:color="auto" w:sz="4" w:space="0"/>
          <w:left w:val="single" w:color="auto" w:sz="4" w:space="0"/>
          <w:bottom w:val="single" w:color="auto" w:sz="4" w:space="0"/>
          <w:right w:val="single" w:color="auto" w:sz="4" w:space="0"/>
        </w:pBdr>
        <w:spacing w:line="360" w:lineRule="auto"/>
        <w:jc w:val="center"/>
        <w:rPr>
          <w:rFonts w:ascii="宋体"/>
          <w:szCs w:val="21"/>
        </w:rPr>
      </w:pPr>
    </w:p>
    <w:p>
      <w:pPr>
        <w:pBdr>
          <w:top w:val="single" w:color="auto" w:sz="4" w:space="0"/>
          <w:left w:val="single" w:color="auto" w:sz="4" w:space="0"/>
          <w:bottom w:val="single" w:color="auto" w:sz="4" w:space="0"/>
          <w:right w:val="single" w:color="auto" w:sz="4" w:space="0"/>
        </w:pBdr>
        <w:jc w:val="center"/>
        <w:rPr>
          <w:rFonts w:ascii="黑体" w:eastAsia="黑体"/>
          <w:sz w:val="32"/>
          <w:szCs w:val="32"/>
        </w:rPr>
      </w:pPr>
      <w:r>
        <w:rPr>
          <w:rFonts w:hint="eastAsia" w:ascii="黑体" w:eastAsia="黑体"/>
          <w:sz w:val="32"/>
          <w:szCs w:val="32"/>
        </w:rPr>
        <w:t>法定代表人及委托代理人身份证复印件或扫描件</w:t>
      </w:r>
    </w:p>
    <w:p>
      <w:pPr>
        <w:pBdr>
          <w:top w:val="single" w:color="auto" w:sz="4" w:space="0"/>
          <w:left w:val="single" w:color="auto" w:sz="4" w:space="0"/>
          <w:bottom w:val="single" w:color="auto" w:sz="4" w:space="0"/>
          <w:right w:val="single" w:color="auto" w:sz="4" w:space="0"/>
        </w:pBdr>
        <w:jc w:val="center"/>
        <w:rPr>
          <w:rFonts w:ascii="黑体" w:eastAsia="黑体"/>
          <w:szCs w:val="21"/>
        </w:rPr>
      </w:pPr>
    </w:p>
    <w:p>
      <w:pPr>
        <w:pBdr>
          <w:top w:val="single" w:color="auto" w:sz="4" w:space="0"/>
          <w:left w:val="single" w:color="auto" w:sz="4" w:space="0"/>
          <w:bottom w:val="single" w:color="auto" w:sz="4" w:space="0"/>
          <w:right w:val="single" w:color="auto" w:sz="4" w:space="0"/>
        </w:pBdr>
        <w:jc w:val="center"/>
        <w:rPr>
          <w:rFonts w:ascii="宋体"/>
          <w:szCs w:val="21"/>
        </w:rPr>
      </w:pPr>
    </w:p>
    <w:p>
      <w:pPr>
        <w:pBdr>
          <w:top w:val="single" w:color="auto" w:sz="4" w:space="0"/>
          <w:left w:val="single" w:color="auto" w:sz="4" w:space="0"/>
          <w:bottom w:val="single" w:color="auto" w:sz="4" w:space="0"/>
          <w:right w:val="single" w:color="auto" w:sz="4" w:space="0"/>
        </w:pBdr>
        <w:rPr>
          <w:rFonts w:ascii="宋体"/>
          <w:szCs w:val="21"/>
        </w:rPr>
      </w:pPr>
    </w:p>
    <w:p>
      <w:pPr>
        <w:pBdr>
          <w:top w:val="single" w:color="auto" w:sz="4" w:space="0"/>
          <w:left w:val="single" w:color="auto" w:sz="4" w:space="0"/>
          <w:bottom w:val="single" w:color="auto" w:sz="4" w:space="0"/>
          <w:right w:val="single" w:color="auto" w:sz="4" w:space="0"/>
        </w:pBdr>
        <w:jc w:val="center"/>
        <w:rPr>
          <w:rFonts w:ascii="宋体"/>
          <w:szCs w:val="21"/>
        </w:rPr>
      </w:pPr>
    </w:p>
    <w:p>
      <w:pPr>
        <w:pBdr>
          <w:top w:val="single" w:color="auto" w:sz="4" w:space="0"/>
          <w:left w:val="single" w:color="auto" w:sz="4" w:space="0"/>
          <w:bottom w:val="single" w:color="auto" w:sz="4" w:space="0"/>
          <w:right w:val="single" w:color="auto" w:sz="4" w:space="0"/>
        </w:pBdr>
        <w:jc w:val="center"/>
        <w:rPr>
          <w:rFonts w:ascii="宋体"/>
          <w:szCs w:val="21"/>
        </w:rPr>
      </w:pPr>
    </w:p>
    <w:p>
      <w:pPr>
        <w:rPr>
          <w:rFonts w:ascii="黑体" w:hAnsi="黑体" w:eastAsia="黑体"/>
          <w:b/>
          <w:sz w:val="32"/>
          <w:szCs w:val="32"/>
        </w:rPr>
      </w:pPr>
    </w:p>
    <w:p>
      <w:pPr>
        <w:jc w:val="center"/>
        <w:rPr>
          <w:sz w:val="44"/>
          <w:szCs w:val="44"/>
        </w:rPr>
      </w:pPr>
      <w:r>
        <w:rPr>
          <w:rFonts w:hint="eastAsia" w:ascii="黑体" w:hAnsi="黑体" w:eastAsia="黑体"/>
          <w:b/>
          <w:sz w:val="32"/>
          <w:szCs w:val="32"/>
        </w:rPr>
        <w:t>七．资格审查资料</w:t>
      </w:r>
    </w:p>
    <w:p>
      <w:pPr>
        <w:jc w:val="center"/>
        <w:rPr>
          <w:rFonts w:ascii="宋体"/>
          <w:b/>
          <w:sz w:val="28"/>
          <w:szCs w:val="28"/>
        </w:rPr>
      </w:pPr>
      <w:r>
        <w:rPr>
          <w:rFonts w:ascii="黑体" w:hAnsi="黑体" w:eastAsia="黑体"/>
          <w:b/>
          <w:sz w:val="30"/>
          <w:szCs w:val="30"/>
        </w:rPr>
        <w:t>1</w:t>
      </w:r>
      <w:r>
        <w:rPr>
          <w:rFonts w:hint="eastAsia" w:ascii="黑体" w:hAnsi="黑体" w:eastAsia="黑体"/>
          <w:b/>
          <w:sz w:val="30"/>
          <w:szCs w:val="30"/>
        </w:rPr>
        <w:t>．资格审查申请函</w:t>
      </w:r>
    </w:p>
    <w:p>
      <w:pPr>
        <w:pStyle w:val="39"/>
        <w:ind w:left="1707"/>
        <w:rPr>
          <w:rFonts w:ascii="黑体" w:hAnsi="黑体" w:eastAsia="黑体"/>
          <w:b/>
          <w:sz w:val="24"/>
          <w:szCs w:val="24"/>
        </w:rPr>
      </w:pPr>
    </w:p>
    <w:p>
      <w:pPr>
        <w:autoSpaceDE w:val="0"/>
        <w:autoSpaceDN w:val="0"/>
        <w:adjustRightInd w:val="0"/>
        <w:spacing w:line="440" w:lineRule="exact"/>
        <w:rPr>
          <w:rFonts w:ascii="宋体" w:cs="宋体"/>
          <w:color w:val="000000"/>
          <w:sz w:val="24"/>
          <w:u w:val="single"/>
        </w:rPr>
      </w:pPr>
      <w:r>
        <w:rPr>
          <w:rFonts w:hint="eastAsia" w:ascii="宋体" w:hAnsi="宋体"/>
          <w:b/>
          <w:sz w:val="24"/>
        </w:rPr>
        <w:t>致：</w:t>
      </w:r>
      <w:r>
        <w:rPr>
          <w:rFonts w:hint="eastAsia" w:ascii="宋体" w:hAnsi="宋体"/>
          <w:b/>
          <w:color w:val="000000"/>
          <w:sz w:val="24"/>
          <w:u w:val="single"/>
        </w:rPr>
        <w:t xml:space="preserve">       （采购人名称）</w:t>
      </w:r>
    </w:p>
    <w:p>
      <w:pPr>
        <w:shd w:val="solid" w:color="FFFFFF" w:fill="auto"/>
        <w:autoSpaceDN w:val="0"/>
        <w:spacing w:line="440" w:lineRule="exact"/>
        <w:ind w:firstLine="480" w:firstLineChars="200"/>
        <w:rPr>
          <w:rFonts w:ascii="宋体"/>
          <w:sz w:val="24"/>
          <w:shd w:val="clear" w:color="auto" w:fill="FFFFFF"/>
        </w:rPr>
      </w:pPr>
      <w:r>
        <w:rPr>
          <w:rFonts w:hint="eastAsia" w:ascii="宋体" w:hAnsi="宋体" w:cs="宋体"/>
          <w:color w:val="000000"/>
          <w:sz w:val="24"/>
          <w:lang w:val="zh-CN"/>
        </w:rPr>
        <w:t>在研究并充分理解</w:t>
      </w:r>
      <w:r>
        <w:rPr>
          <w:rFonts w:hint="eastAsia" w:ascii="宋体" w:hAnsi="宋体" w:cs="宋体"/>
          <w:color w:val="000000"/>
          <w:sz w:val="24"/>
          <w:u w:val="single"/>
        </w:rPr>
        <w:t xml:space="preserve">          </w:t>
      </w:r>
      <w:r>
        <w:rPr>
          <w:rFonts w:hint="eastAsia" w:ascii="宋体" w:hAnsi="宋体"/>
          <w:sz w:val="24"/>
          <w:szCs w:val="22"/>
          <w:u w:val="single"/>
        </w:rPr>
        <w:t>（项目名称）</w:t>
      </w:r>
      <w:r>
        <w:rPr>
          <w:rFonts w:hint="eastAsia" w:ascii="宋体" w:hAnsi="宋体"/>
          <w:sz w:val="24"/>
          <w:szCs w:val="22"/>
        </w:rPr>
        <w:t>项目</w:t>
      </w:r>
      <w:r>
        <w:rPr>
          <w:rFonts w:hint="eastAsia" w:ascii="宋体" w:hAnsi="宋体" w:cs="宋体"/>
          <w:sz w:val="24"/>
          <w:lang w:val="zh-CN"/>
        </w:rPr>
        <w:t>招标公告后，根据本单位的实力、技术力量、管理能力与特点，我方</w:t>
      </w:r>
      <w:r>
        <w:rPr>
          <w:rFonts w:hint="eastAsia" w:ascii="宋体" w:hAnsi="宋体" w:cs="宋体"/>
          <w:sz w:val="24"/>
          <w:u w:val="single"/>
        </w:rPr>
        <w:t xml:space="preserve">     </w:t>
      </w:r>
      <w:r>
        <w:rPr>
          <w:rFonts w:hint="eastAsia" w:ascii="宋体" w:hAnsi="宋体" w:cs="宋体"/>
          <w:sz w:val="24"/>
          <w:u w:val="single"/>
          <w:lang w:val="zh-CN"/>
        </w:rPr>
        <w:t>（授权委托人）</w:t>
      </w:r>
      <w:r>
        <w:rPr>
          <w:rFonts w:hint="eastAsia" w:ascii="宋体" w:hAnsi="宋体" w:cs="宋体"/>
          <w:sz w:val="24"/>
          <w:lang w:val="zh-CN"/>
        </w:rPr>
        <w:t>现申请参加本项目招标资格审查。</w:t>
      </w:r>
    </w:p>
    <w:p>
      <w:pPr>
        <w:autoSpaceDE w:val="0"/>
        <w:autoSpaceDN w:val="0"/>
        <w:adjustRightInd w:val="0"/>
        <w:spacing w:line="440" w:lineRule="exact"/>
        <w:ind w:firstLine="480" w:firstLineChars="200"/>
        <w:rPr>
          <w:rFonts w:ascii="宋体" w:cs="宋体"/>
          <w:sz w:val="24"/>
          <w:lang w:val="zh-CN"/>
        </w:rPr>
      </w:pPr>
      <w:r>
        <w:rPr>
          <w:rFonts w:hint="eastAsia" w:ascii="宋体" w:hAnsi="宋体" w:cs="宋体"/>
          <w:sz w:val="24"/>
          <w:lang w:val="zh-CN"/>
        </w:rPr>
        <w:t>按照招标公告的要求，我们向贵单位递交资格审查申报资料，以便贵单位审查。</w:t>
      </w:r>
    </w:p>
    <w:p>
      <w:pPr>
        <w:pStyle w:val="39"/>
        <w:autoSpaceDE w:val="0"/>
        <w:autoSpaceDN w:val="0"/>
        <w:adjustRightInd w:val="0"/>
        <w:spacing w:line="440" w:lineRule="exact"/>
        <w:ind w:left="0" w:firstLine="480" w:firstLineChars="200"/>
        <w:rPr>
          <w:rFonts w:ascii="宋体" w:cs="宋体"/>
          <w:sz w:val="24"/>
          <w:szCs w:val="24"/>
          <w:lang w:val="zh-CN"/>
        </w:rPr>
      </w:pPr>
      <w:r>
        <w:rPr>
          <w:rFonts w:hint="eastAsia" w:ascii="宋体" w:hAnsi="宋体" w:cs="宋体"/>
          <w:sz w:val="24"/>
          <w:szCs w:val="24"/>
          <w:lang w:val="zh-CN"/>
        </w:rPr>
        <w:t>我方承诺，所呈报的资格审查申报资料全部内容是真实的、有效的、准确的，并理解和同意有可能被要求提供更多的资料。</w:t>
      </w:r>
    </w:p>
    <w:p>
      <w:pPr>
        <w:autoSpaceDE w:val="0"/>
        <w:autoSpaceDN w:val="0"/>
        <w:adjustRightInd w:val="0"/>
        <w:spacing w:line="440" w:lineRule="exact"/>
        <w:ind w:firstLine="480" w:firstLineChars="200"/>
        <w:rPr>
          <w:rFonts w:ascii="宋体" w:cs="宋体"/>
          <w:sz w:val="24"/>
          <w:lang w:val="zh-CN"/>
        </w:rPr>
      </w:pPr>
      <w:r>
        <w:rPr>
          <w:rFonts w:hint="eastAsia" w:ascii="宋体" w:hAnsi="宋体" w:cs="宋体"/>
          <w:sz w:val="24"/>
          <w:lang w:val="zh-CN"/>
        </w:rPr>
        <w:t>我们理解招标人有权拒绝不符合资格审查条件的申请，且无须作任何解释与承担任何责任。</w:t>
      </w:r>
    </w:p>
    <w:p>
      <w:pPr>
        <w:autoSpaceDE w:val="0"/>
        <w:autoSpaceDN w:val="0"/>
        <w:adjustRightInd w:val="0"/>
        <w:spacing w:line="440" w:lineRule="exact"/>
        <w:ind w:firstLine="480" w:firstLineChars="200"/>
        <w:rPr>
          <w:rFonts w:ascii="宋体" w:cs="宋体"/>
          <w:sz w:val="24"/>
          <w:lang w:val="zh-CN"/>
        </w:rPr>
      </w:pPr>
      <w:r>
        <w:rPr>
          <w:rFonts w:hint="eastAsia" w:ascii="宋体" w:hAnsi="宋体" w:cs="宋体"/>
          <w:sz w:val="24"/>
          <w:lang w:val="zh-CN"/>
        </w:rPr>
        <w:t>我们理解并遵从招标人的招投标活动时间安排且无需做任何解释，并不做任何投诉。</w:t>
      </w:r>
    </w:p>
    <w:p>
      <w:pPr>
        <w:pStyle w:val="39"/>
        <w:autoSpaceDE w:val="0"/>
        <w:autoSpaceDN w:val="0"/>
        <w:adjustRightInd w:val="0"/>
        <w:spacing w:line="440" w:lineRule="exact"/>
        <w:ind w:left="360"/>
        <w:rPr>
          <w:rFonts w:ascii="宋体" w:cs="宋体"/>
          <w:sz w:val="24"/>
          <w:szCs w:val="24"/>
          <w:lang w:val="zh-CN"/>
        </w:rPr>
      </w:pPr>
    </w:p>
    <w:p>
      <w:pPr>
        <w:pStyle w:val="39"/>
        <w:autoSpaceDE w:val="0"/>
        <w:autoSpaceDN w:val="0"/>
        <w:adjustRightInd w:val="0"/>
        <w:spacing w:line="440" w:lineRule="exact"/>
        <w:ind w:left="360"/>
        <w:rPr>
          <w:rFonts w:ascii="宋体" w:cs="宋体"/>
          <w:sz w:val="24"/>
          <w:szCs w:val="24"/>
          <w:lang w:val="zh-CN"/>
        </w:rPr>
      </w:pPr>
    </w:p>
    <w:p>
      <w:pPr>
        <w:pStyle w:val="39"/>
        <w:autoSpaceDE w:val="0"/>
        <w:autoSpaceDN w:val="0"/>
        <w:adjustRightInd w:val="0"/>
        <w:spacing w:line="440" w:lineRule="exact"/>
        <w:ind w:left="360"/>
        <w:rPr>
          <w:rFonts w:ascii="宋体" w:cs="宋体"/>
          <w:sz w:val="24"/>
          <w:szCs w:val="24"/>
          <w:lang w:val="zh-CN"/>
        </w:rPr>
      </w:pPr>
    </w:p>
    <w:p>
      <w:pPr>
        <w:pStyle w:val="39"/>
        <w:autoSpaceDE w:val="0"/>
        <w:autoSpaceDN w:val="0"/>
        <w:adjustRightInd w:val="0"/>
        <w:spacing w:line="440" w:lineRule="exact"/>
        <w:ind w:left="360"/>
        <w:rPr>
          <w:rFonts w:ascii="宋体" w:cs="宋体"/>
          <w:sz w:val="24"/>
          <w:szCs w:val="24"/>
          <w:lang w:val="zh-CN"/>
        </w:rPr>
      </w:pPr>
    </w:p>
    <w:p>
      <w:pPr>
        <w:pStyle w:val="39"/>
        <w:autoSpaceDE w:val="0"/>
        <w:autoSpaceDN w:val="0"/>
        <w:adjustRightInd w:val="0"/>
        <w:spacing w:line="480" w:lineRule="auto"/>
        <w:ind w:left="357"/>
        <w:rPr>
          <w:rFonts w:ascii="宋体" w:cs="宋体"/>
          <w:sz w:val="24"/>
          <w:szCs w:val="24"/>
          <w:lang w:val="zh-CN"/>
        </w:rPr>
      </w:pPr>
      <w:r>
        <w:rPr>
          <w:rFonts w:hint="eastAsia" w:ascii="宋体" w:hAnsi="宋体" w:cs="宋体"/>
          <w:sz w:val="24"/>
          <w:szCs w:val="24"/>
          <w:lang w:val="zh-CN"/>
        </w:rPr>
        <w:t>申请单位名称（</w:t>
      </w:r>
      <w:r>
        <w:rPr>
          <w:rFonts w:hint="eastAsia" w:ascii="宋体" w:hAnsi="宋体"/>
          <w:sz w:val="24"/>
        </w:rPr>
        <w:t>电子签章</w:t>
      </w:r>
      <w:r>
        <w:rPr>
          <w:rFonts w:hint="eastAsia" w:ascii="宋体" w:hAnsi="宋体" w:cs="宋体"/>
          <w:sz w:val="24"/>
          <w:szCs w:val="24"/>
          <w:lang w:val="zh-CN"/>
        </w:rPr>
        <w:t>）：</w:t>
      </w:r>
    </w:p>
    <w:p>
      <w:pPr>
        <w:pStyle w:val="39"/>
        <w:autoSpaceDE w:val="0"/>
        <w:autoSpaceDN w:val="0"/>
        <w:adjustRightInd w:val="0"/>
        <w:spacing w:line="480" w:lineRule="auto"/>
        <w:ind w:left="357"/>
        <w:rPr>
          <w:rFonts w:ascii="宋体" w:cs="宋体"/>
          <w:sz w:val="24"/>
          <w:szCs w:val="24"/>
          <w:lang w:val="zh-CN"/>
        </w:rPr>
      </w:pPr>
      <w:r>
        <w:rPr>
          <w:rFonts w:hint="eastAsia" w:ascii="宋体" w:hAnsi="宋体" w:cs="宋体"/>
          <w:sz w:val="24"/>
          <w:szCs w:val="24"/>
          <w:lang w:val="zh-CN"/>
        </w:rPr>
        <w:t>法定代表人（</w:t>
      </w:r>
      <w:r>
        <w:rPr>
          <w:rFonts w:hint="eastAsia" w:ascii="宋体" w:hAnsi="宋体"/>
          <w:sz w:val="24"/>
        </w:rPr>
        <w:t>电子签章</w:t>
      </w:r>
      <w:r>
        <w:rPr>
          <w:rFonts w:hint="eastAsia" w:ascii="宋体" w:hAnsi="宋体" w:cs="宋体"/>
          <w:sz w:val="24"/>
          <w:szCs w:val="24"/>
          <w:lang w:val="zh-CN"/>
        </w:rPr>
        <w:t>）：</w:t>
      </w:r>
    </w:p>
    <w:p>
      <w:pPr>
        <w:pStyle w:val="39"/>
        <w:autoSpaceDE w:val="0"/>
        <w:autoSpaceDN w:val="0"/>
        <w:adjustRightInd w:val="0"/>
        <w:spacing w:line="480" w:lineRule="auto"/>
        <w:ind w:left="357"/>
        <w:rPr>
          <w:rFonts w:ascii="宋体" w:cs="宋体"/>
          <w:b/>
          <w:bCs/>
          <w:sz w:val="24"/>
          <w:szCs w:val="24"/>
          <w:lang w:val="zh-CN"/>
        </w:rPr>
      </w:pPr>
      <w:r>
        <w:rPr>
          <w:rFonts w:hint="eastAsia" w:ascii="宋体" w:hAnsi="宋体" w:cs="宋体"/>
          <w:sz w:val="24"/>
          <w:szCs w:val="24"/>
          <w:lang w:val="zh-CN"/>
        </w:rPr>
        <w:t>签署时间：</w:t>
      </w:r>
      <w:r>
        <w:rPr>
          <w:rFonts w:hint="eastAsia" w:ascii="宋体" w:hAnsi="宋体" w:cs="宋体"/>
          <w:sz w:val="24"/>
          <w:szCs w:val="24"/>
        </w:rPr>
        <w:t xml:space="preserve">  </w:t>
      </w:r>
      <w:r>
        <w:rPr>
          <w:rFonts w:hint="eastAsia" w:ascii="宋体" w:hAnsi="宋体" w:cs="宋体"/>
          <w:sz w:val="24"/>
          <w:szCs w:val="24"/>
          <w:lang w:val="zh-CN"/>
        </w:rPr>
        <w:t>年</w:t>
      </w:r>
      <w:r>
        <w:rPr>
          <w:rFonts w:hint="eastAsia" w:ascii="宋体" w:hAnsi="宋体" w:cs="宋体"/>
          <w:sz w:val="24"/>
          <w:szCs w:val="24"/>
        </w:rPr>
        <w:t xml:space="preserve">   </w:t>
      </w:r>
      <w:r>
        <w:rPr>
          <w:rFonts w:hint="eastAsia" w:ascii="宋体" w:hAnsi="宋体" w:cs="宋体"/>
          <w:sz w:val="24"/>
          <w:szCs w:val="24"/>
          <w:lang w:val="zh-CN"/>
        </w:rPr>
        <w:t>月</w:t>
      </w:r>
      <w:r>
        <w:rPr>
          <w:rFonts w:hint="eastAsia" w:ascii="宋体" w:hAnsi="宋体" w:cs="宋体"/>
          <w:sz w:val="24"/>
          <w:szCs w:val="24"/>
        </w:rPr>
        <w:t xml:space="preserve">   </w:t>
      </w:r>
      <w:r>
        <w:rPr>
          <w:rFonts w:hint="eastAsia" w:ascii="宋体" w:hAnsi="宋体" w:cs="宋体"/>
          <w:sz w:val="24"/>
          <w:szCs w:val="24"/>
          <w:lang w:val="zh-CN"/>
        </w:rPr>
        <w:t>日</w:t>
      </w:r>
    </w:p>
    <w:p>
      <w:pPr>
        <w:spacing w:line="360" w:lineRule="auto"/>
        <w:jc w:val="left"/>
        <w:rPr>
          <w:rFonts w:ascii="宋体"/>
          <w:sz w:val="24"/>
        </w:rPr>
      </w:pPr>
    </w:p>
    <w:p>
      <w:pPr>
        <w:spacing w:line="440" w:lineRule="exact"/>
        <w:jc w:val="center"/>
        <w:rPr>
          <w:rFonts w:ascii="宋体"/>
          <w:sz w:val="24"/>
        </w:rPr>
      </w:pPr>
    </w:p>
    <w:p>
      <w:pPr>
        <w:spacing w:line="440" w:lineRule="exact"/>
        <w:rPr>
          <w:rFonts w:ascii="宋体"/>
          <w:sz w:val="24"/>
        </w:rPr>
      </w:pPr>
    </w:p>
    <w:p>
      <w:pPr>
        <w:spacing w:line="440" w:lineRule="exact"/>
        <w:jc w:val="center"/>
        <w:rPr>
          <w:rFonts w:ascii="宋体"/>
          <w:b/>
          <w:sz w:val="24"/>
        </w:rPr>
      </w:pPr>
    </w:p>
    <w:p>
      <w:pPr>
        <w:spacing w:line="440" w:lineRule="exact"/>
        <w:jc w:val="center"/>
        <w:rPr>
          <w:rFonts w:ascii="宋体"/>
          <w:b/>
          <w:sz w:val="24"/>
        </w:rPr>
      </w:pPr>
    </w:p>
    <w:p>
      <w:pPr>
        <w:pStyle w:val="2"/>
        <w:ind w:firstLine="560"/>
      </w:pPr>
    </w:p>
    <w:p>
      <w:pPr>
        <w:pStyle w:val="19"/>
        <w:ind w:firstLine="210"/>
      </w:pPr>
    </w:p>
    <w:p>
      <w:pPr>
        <w:spacing w:line="440" w:lineRule="exact"/>
        <w:rPr>
          <w:rFonts w:ascii="宋体"/>
          <w:b/>
          <w:sz w:val="24"/>
        </w:rPr>
      </w:pPr>
    </w:p>
    <w:p>
      <w:pPr>
        <w:spacing w:line="440" w:lineRule="exact"/>
        <w:jc w:val="center"/>
        <w:rPr>
          <w:rFonts w:ascii="宋体"/>
          <w:b/>
          <w:sz w:val="30"/>
          <w:szCs w:val="30"/>
        </w:rPr>
      </w:pPr>
      <w:r>
        <w:rPr>
          <w:rFonts w:ascii="宋体" w:hAnsi="宋体"/>
          <w:b/>
          <w:sz w:val="30"/>
          <w:szCs w:val="30"/>
        </w:rPr>
        <w:t>2</w:t>
      </w:r>
      <w:r>
        <w:rPr>
          <w:rFonts w:hint="eastAsia" w:ascii="宋体" w:hAnsi="宋体"/>
          <w:b/>
          <w:sz w:val="30"/>
          <w:szCs w:val="30"/>
        </w:rPr>
        <w:t>．供应商基本情况表</w:t>
      </w:r>
    </w:p>
    <w:tbl>
      <w:tblPr>
        <w:tblStyle w:val="20"/>
        <w:tblpPr w:leftFromText="180" w:rightFromText="180" w:vertAnchor="text" w:horzAnchor="page" w:tblpX="1838" w:tblpY="487"/>
        <w:tblOverlap w:val="never"/>
        <w:tblW w:w="8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5"/>
        <w:gridCol w:w="1622"/>
        <w:gridCol w:w="2005"/>
        <w:gridCol w:w="1522"/>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2155" w:type="dxa"/>
            <w:vAlign w:val="center"/>
          </w:tcPr>
          <w:p>
            <w:pPr>
              <w:pStyle w:val="64"/>
              <w:spacing w:before="1"/>
              <w:rPr>
                <w:sz w:val="17"/>
              </w:rPr>
            </w:pPr>
          </w:p>
          <w:p>
            <w:pPr>
              <w:pStyle w:val="64"/>
              <w:ind w:left="96" w:right="85"/>
            </w:pPr>
            <w:r>
              <w:rPr>
                <w:rFonts w:hint="eastAsia"/>
                <w:u w:val="single"/>
              </w:rPr>
              <w:t>供应商</w:t>
            </w:r>
            <w:r>
              <w:rPr>
                <w:u w:val="single"/>
              </w:rPr>
              <w:t>名称</w:t>
            </w:r>
          </w:p>
        </w:tc>
        <w:tc>
          <w:tcPr>
            <w:tcW w:w="6313" w:type="dxa"/>
            <w:gridSpan w:val="4"/>
            <w:vAlign w:val="center"/>
          </w:tcPr>
          <w:p>
            <w:pPr>
              <w:pStyle w:val="6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2155" w:type="dxa"/>
            <w:vAlign w:val="center"/>
          </w:tcPr>
          <w:p>
            <w:pPr>
              <w:pStyle w:val="64"/>
              <w:spacing w:before="12"/>
              <w:rPr>
                <w:sz w:val="16"/>
              </w:rPr>
            </w:pPr>
          </w:p>
          <w:p>
            <w:pPr>
              <w:pStyle w:val="64"/>
              <w:ind w:left="96" w:right="85"/>
            </w:pPr>
            <w:r>
              <w:t>注册资金</w:t>
            </w:r>
          </w:p>
        </w:tc>
        <w:tc>
          <w:tcPr>
            <w:tcW w:w="3627" w:type="dxa"/>
            <w:gridSpan w:val="2"/>
            <w:vAlign w:val="center"/>
          </w:tcPr>
          <w:p>
            <w:pPr>
              <w:pStyle w:val="64"/>
              <w:rPr>
                <w:rFonts w:ascii="Times New Roman"/>
                <w:sz w:val="22"/>
              </w:rPr>
            </w:pPr>
          </w:p>
        </w:tc>
        <w:tc>
          <w:tcPr>
            <w:tcW w:w="1522" w:type="dxa"/>
            <w:vAlign w:val="center"/>
          </w:tcPr>
          <w:p>
            <w:pPr>
              <w:pStyle w:val="64"/>
              <w:spacing w:before="12"/>
              <w:rPr>
                <w:sz w:val="16"/>
              </w:rPr>
            </w:pPr>
          </w:p>
          <w:p>
            <w:pPr>
              <w:pStyle w:val="64"/>
              <w:ind w:left="97" w:right="82"/>
            </w:pPr>
            <w:r>
              <w:t>成立时间</w:t>
            </w:r>
          </w:p>
        </w:tc>
        <w:tc>
          <w:tcPr>
            <w:tcW w:w="1164" w:type="dxa"/>
            <w:vAlign w:val="center"/>
          </w:tcPr>
          <w:p>
            <w:pPr>
              <w:pStyle w:val="6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155" w:type="dxa"/>
            <w:vAlign w:val="center"/>
          </w:tcPr>
          <w:p>
            <w:pPr>
              <w:pStyle w:val="64"/>
              <w:spacing w:before="4"/>
              <w:rPr>
                <w:sz w:val="16"/>
              </w:rPr>
            </w:pPr>
          </w:p>
          <w:p>
            <w:pPr>
              <w:pStyle w:val="64"/>
              <w:spacing w:before="1"/>
              <w:ind w:left="96" w:right="85"/>
            </w:pPr>
            <w:r>
              <w:t>注册地址</w:t>
            </w:r>
          </w:p>
        </w:tc>
        <w:tc>
          <w:tcPr>
            <w:tcW w:w="6313" w:type="dxa"/>
            <w:gridSpan w:val="4"/>
            <w:vAlign w:val="center"/>
          </w:tcPr>
          <w:p>
            <w:pPr>
              <w:pStyle w:val="6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2155" w:type="dxa"/>
            <w:vAlign w:val="center"/>
          </w:tcPr>
          <w:p>
            <w:pPr>
              <w:pStyle w:val="64"/>
              <w:spacing w:before="12"/>
              <w:rPr>
                <w:sz w:val="16"/>
              </w:rPr>
            </w:pPr>
          </w:p>
          <w:p>
            <w:pPr>
              <w:pStyle w:val="64"/>
              <w:ind w:left="96" w:right="85"/>
            </w:pPr>
            <w:r>
              <w:t>邮政编码</w:t>
            </w:r>
          </w:p>
        </w:tc>
        <w:tc>
          <w:tcPr>
            <w:tcW w:w="3627" w:type="dxa"/>
            <w:gridSpan w:val="2"/>
            <w:vAlign w:val="center"/>
          </w:tcPr>
          <w:p>
            <w:pPr>
              <w:pStyle w:val="64"/>
              <w:rPr>
                <w:rFonts w:ascii="Times New Roman"/>
                <w:sz w:val="22"/>
              </w:rPr>
            </w:pPr>
          </w:p>
        </w:tc>
        <w:tc>
          <w:tcPr>
            <w:tcW w:w="1522" w:type="dxa"/>
            <w:vAlign w:val="center"/>
          </w:tcPr>
          <w:p>
            <w:pPr>
              <w:pStyle w:val="64"/>
              <w:spacing w:before="12"/>
              <w:rPr>
                <w:sz w:val="16"/>
              </w:rPr>
            </w:pPr>
          </w:p>
          <w:p>
            <w:pPr>
              <w:pStyle w:val="64"/>
              <w:ind w:left="97" w:right="82"/>
            </w:pPr>
            <w:r>
              <w:t>员工总数</w:t>
            </w:r>
          </w:p>
        </w:tc>
        <w:tc>
          <w:tcPr>
            <w:tcW w:w="1164" w:type="dxa"/>
            <w:vAlign w:val="center"/>
          </w:tcPr>
          <w:p>
            <w:pPr>
              <w:pStyle w:val="6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2155" w:type="dxa"/>
            <w:vMerge w:val="restart"/>
          </w:tcPr>
          <w:p>
            <w:pPr>
              <w:pStyle w:val="64"/>
              <w:rPr>
                <w:sz w:val="25"/>
              </w:rPr>
            </w:pPr>
          </w:p>
          <w:p>
            <w:pPr>
              <w:pStyle w:val="64"/>
              <w:ind w:left="640"/>
            </w:pPr>
            <w:r>
              <w:t>联系方式</w:t>
            </w:r>
          </w:p>
        </w:tc>
        <w:tc>
          <w:tcPr>
            <w:tcW w:w="1622" w:type="dxa"/>
            <w:vAlign w:val="center"/>
          </w:tcPr>
          <w:p>
            <w:pPr>
              <w:pStyle w:val="64"/>
              <w:spacing w:before="12"/>
              <w:rPr>
                <w:sz w:val="16"/>
              </w:rPr>
            </w:pPr>
          </w:p>
          <w:p>
            <w:pPr>
              <w:pStyle w:val="64"/>
              <w:ind w:left="372" w:right="360"/>
            </w:pPr>
            <w:r>
              <w:t>联系人</w:t>
            </w:r>
          </w:p>
        </w:tc>
        <w:tc>
          <w:tcPr>
            <w:tcW w:w="2005" w:type="dxa"/>
            <w:vAlign w:val="center"/>
          </w:tcPr>
          <w:p>
            <w:pPr>
              <w:pStyle w:val="64"/>
              <w:rPr>
                <w:rFonts w:ascii="Times New Roman"/>
                <w:sz w:val="22"/>
              </w:rPr>
            </w:pPr>
          </w:p>
        </w:tc>
        <w:tc>
          <w:tcPr>
            <w:tcW w:w="1522" w:type="dxa"/>
            <w:vAlign w:val="center"/>
          </w:tcPr>
          <w:p>
            <w:pPr>
              <w:pStyle w:val="64"/>
              <w:spacing w:before="12"/>
              <w:rPr>
                <w:sz w:val="16"/>
              </w:rPr>
            </w:pPr>
          </w:p>
          <w:p>
            <w:pPr>
              <w:pStyle w:val="64"/>
              <w:ind w:left="96" w:right="82"/>
            </w:pPr>
            <w:r>
              <w:t>电话</w:t>
            </w:r>
          </w:p>
        </w:tc>
        <w:tc>
          <w:tcPr>
            <w:tcW w:w="1164" w:type="dxa"/>
            <w:vAlign w:val="center"/>
          </w:tcPr>
          <w:p>
            <w:pPr>
              <w:pStyle w:val="6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2155" w:type="dxa"/>
            <w:vMerge w:val="continue"/>
            <w:tcBorders>
              <w:top w:val="nil"/>
            </w:tcBorders>
            <w:vAlign w:val="center"/>
          </w:tcPr>
          <w:p>
            <w:pPr>
              <w:rPr>
                <w:sz w:val="2"/>
                <w:szCs w:val="2"/>
              </w:rPr>
            </w:pPr>
          </w:p>
        </w:tc>
        <w:tc>
          <w:tcPr>
            <w:tcW w:w="1622" w:type="dxa"/>
            <w:vAlign w:val="center"/>
          </w:tcPr>
          <w:p>
            <w:pPr>
              <w:pStyle w:val="64"/>
              <w:spacing w:before="1"/>
              <w:rPr>
                <w:sz w:val="17"/>
              </w:rPr>
            </w:pPr>
          </w:p>
          <w:p>
            <w:pPr>
              <w:pStyle w:val="64"/>
              <w:ind w:left="372" w:right="360"/>
            </w:pPr>
            <w:r>
              <w:t>传真</w:t>
            </w:r>
          </w:p>
        </w:tc>
        <w:tc>
          <w:tcPr>
            <w:tcW w:w="2005" w:type="dxa"/>
            <w:vAlign w:val="center"/>
          </w:tcPr>
          <w:p>
            <w:pPr>
              <w:pStyle w:val="64"/>
              <w:rPr>
                <w:rFonts w:ascii="Times New Roman"/>
                <w:sz w:val="22"/>
              </w:rPr>
            </w:pPr>
          </w:p>
        </w:tc>
        <w:tc>
          <w:tcPr>
            <w:tcW w:w="1522" w:type="dxa"/>
            <w:vAlign w:val="center"/>
          </w:tcPr>
          <w:p>
            <w:pPr>
              <w:pStyle w:val="64"/>
              <w:spacing w:before="1"/>
              <w:rPr>
                <w:sz w:val="17"/>
              </w:rPr>
            </w:pPr>
          </w:p>
          <w:p>
            <w:pPr>
              <w:pStyle w:val="64"/>
              <w:ind w:left="96" w:right="82"/>
            </w:pPr>
            <w:r>
              <w:t>网址</w:t>
            </w:r>
          </w:p>
        </w:tc>
        <w:tc>
          <w:tcPr>
            <w:tcW w:w="1164" w:type="dxa"/>
            <w:vAlign w:val="center"/>
          </w:tcPr>
          <w:p>
            <w:pPr>
              <w:pStyle w:val="6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2155" w:type="dxa"/>
            <w:vAlign w:val="center"/>
          </w:tcPr>
          <w:p>
            <w:pPr>
              <w:pStyle w:val="64"/>
              <w:spacing w:before="12"/>
              <w:rPr>
                <w:sz w:val="16"/>
              </w:rPr>
            </w:pPr>
          </w:p>
          <w:p>
            <w:pPr>
              <w:pStyle w:val="64"/>
              <w:ind w:left="96" w:right="85"/>
            </w:pPr>
            <w:r>
              <w:t>法定代表人</w:t>
            </w:r>
          </w:p>
        </w:tc>
        <w:tc>
          <w:tcPr>
            <w:tcW w:w="1622" w:type="dxa"/>
            <w:vAlign w:val="center"/>
          </w:tcPr>
          <w:p>
            <w:pPr>
              <w:pStyle w:val="64"/>
              <w:spacing w:before="12"/>
              <w:rPr>
                <w:sz w:val="16"/>
              </w:rPr>
            </w:pPr>
          </w:p>
          <w:p>
            <w:pPr>
              <w:pStyle w:val="64"/>
              <w:ind w:left="372" w:right="360"/>
            </w:pPr>
            <w:r>
              <w:t>姓名</w:t>
            </w:r>
          </w:p>
        </w:tc>
        <w:tc>
          <w:tcPr>
            <w:tcW w:w="2005" w:type="dxa"/>
            <w:vAlign w:val="center"/>
          </w:tcPr>
          <w:p>
            <w:pPr>
              <w:pStyle w:val="64"/>
              <w:rPr>
                <w:rFonts w:ascii="Times New Roman"/>
                <w:sz w:val="22"/>
              </w:rPr>
            </w:pPr>
          </w:p>
        </w:tc>
        <w:tc>
          <w:tcPr>
            <w:tcW w:w="1522" w:type="dxa"/>
            <w:vAlign w:val="center"/>
          </w:tcPr>
          <w:p>
            <w:pPr>
              <w:pStyle w:val="64"/>
              <w:spacing w:before="12"/>
              <w:rPr>
                <w:sz w:val="16"/>
              </w:rPr>
            </w:pPr>
          </w:p>
          <w:p>
            <w:pPr>
              <w:pStyle w:val="64"/>
              <w:ind w:left="96" w:right="82"/>
            </w:pPr>
            <w:r>
              <w:t>电话</w:t>
            </w:r>
          </w:p>
        </w:tc>
        <w:tc>
          <w:tcPr>
            <w:tcW w:w="1164" w:type="dxa"/>
            <w:vAlign w:val="center"/>
          </w:tcPr>
          <w:p>
            <w:pPr>
              <w:pStyle w:val="6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2155" w:type="dxa"/>
            <w:vAlign w:val="center"/>
          </w:tcPr>
          <w:p>
            <w:pPr>
              <w:pStyle w:val="64"/>
              <w:spacing w:before="5"/>
              <w:rPr>
                <w:sz w:val="24"/>
              </w:rPr>
            </w:pPr>
          </w:p>
          <w:p>
            <w:pPr>
              <w:pStyle w:val="64"/>
              <w:spacing w:before="1"/>
              <w:ind w:left="96" w:right="85"/>
            </w:pPr>
            <w:r>
              <w:t>基本账户开户银行</w:t>
            </w:r>
          </w:p>
        </w:tc>
        <w:tc>
          <w:tcPr>
            <w:tcW w:w="6313" w:type="dxa"/>
            <w:gridSpan w:val="4"/>
            <w:vAlign w:val="center"/>
          </w:tcPr>
          <w:p>
            <w:pPr>
              <w:pStyle w:val="6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2155" w:type="dxa"/>
            <w:vAlign w:val="center"/>
          </w:tcPr>
          <w:p>
            <w:pPr>
              <w:pStyle w:val="64"/>
              <w:spacing w:before="7"/>
              <w:rPr>
                <w:sz w:val="24"/>
              </w:rPr>
            </w:pPr>
          </w:p>
          <w:p>
            <w:pPr>
              <w:pStyle w:val="64"/>
              <w:spacing w:before="1"/>
              <w:ind w:left="96" w:right="85"/>
            </w:pPr>
            <w:r>
              <w:t>基本账户银行账号</w:t>
            </w:r>
          </w:p>
        </w:tc>
        <w:tc>
          <w:tcPr>
            <w:tcW w:w="6313" w:type="dxa"/>
            <w:gridSpan w:val="4"/>
            <w:vAlign w:val="center"/>
          </w:tcPr>
          <w:p>
            <w:pPr>
              <w:pStyle w:val="6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2155" w:type="dxa"/>
            <w:vAlign w:val="center"/>
          </w:tcPr>
          <w:p>
            <w:pPr>
              <w:pStyle w:val="64"/>
              <w:spacing w:before="6"/>
              <w:rPr>
                <w:sz w:val="29"/>
              </w:rPr>
            </w:pPr>
          </w:p>
          <w:p>
            <w:pPr>
              <w:pStyle w:val="64"/>
              <w:ind w:left="94" w:right="85"/>
            </w:pPr>
            <w:r>
              <w:t>备注</w:t>
            </w:r>
          </w:p>
        </w:tc>
        <w:tc>
          <w:tcPr>
            <w:tcW w:w="6313" w:type="dxa"/>
            <w:gridSpan w:val="4"/>
            <w:vAlign w:val="center"/>
          </w:tcPr>
          <w:p>
            <w:pPr>
              <w:pStyle w:val="64"/>
              <w:rPr>
                <w:rFonts w:ascii="Times New Roman"/>
                <w:sz w:val="22"/>
              </w:rPr>
            </w:pPr>
          </w:p>
        </w:tc>
      </w:tr>
    </w:tbl>
    <w:p>
      <w:pPr>
        <w:spacing w:line="440" w:lineRule="exact"/>
        <w:jc w:val="center"/>
        <w:rPr>
          <w:rFonts w:ascii="黑体" w:hAnsi="黑体" w:eastAsia="黑体"/>
          <w:b/>
          <w:sz w:val="32"/>
          <w:szCs w:val="32"/>
        </w:rPr>
      </w:pPr>
    </w:p>
    <w:p>
      <w:pPr>
        <w:spacing w:line="440" w:lineRule="exact"/>
        <w:jc w:val="center"/>
        <w:rPr>
          <w:rFonts w:ascii="黑体" w:hAnsi="黑体" w:eastAsia="黑体"/>
          <w:b/>
          <w:sz w:val="32"/>
          <w:szCs w:val="32"/>
        </w:rPr>
      </w:pPr>
    </w:p>
    <w:p>
      <w:pPr>
        <w:pStyle w:val="2"/>
        <w:ind w:firstLine="643"/>
        <w:rPr>
          <w:rFonts w:ascii="黑体" w:hAnsi="黑体" w:eastAsia="黑体"/>
          <w:b/>
          <w:sz w:val="32"/>
          <w:szCs w:val="32"/>
        </w:rPr>
      </w:pPr>
    </w:p>
    <w:p>
      <w:pPr>
        <w:pStyle w:val="2"/>
        <w:ind w:firstLine="643"/>
        <w:rPr>
          <w:rFonts w:ascii="黑体" w:hAnsi="黑体" w:eastAsia="黑体"/>
          <w:b/>
          <w:sz w:val="32"/>
          <w:szCs w:val="32"/>
        </w:rPr>
      </w:pPr>
    </w:p>
    <w:p>
      <w:pPr>
        <w:spacing w:line="440" w:lineRule="exact"/>
        <w:jc w:val="center"/>
        <w:rPr>
          <w:rFonts w:ascii="黑体" w:hAnsi="黑体" w:eastAsia="黑体"/>
          <w:b/>
          <w:sz w:val="32"/>
          <w:szCs w:val="32"/>
        </w:rPr>
      </w:pPr>
    </w:p>
    <w:p>
      <w:pPr>
        <w:spacing w:line="440" w:lineRule="exact"/>
        <w:jc w:val="center"/>
        <w:rPr>
          <w:rFonts w:ascii="黑体" w:hAnsi="黑体" w:eastAsia="黑体"/>
          <w:b/>
          <w:sz w:val="32"/>
          <w:szCs w:val="32"/>
        </w:rPr>
      </w:pPr>
    </w:p>
    <w:p>
      <w:pPr>
        <w:spacing w:line="440" w:lineRule="exact"/>
        <w:jc w:val="center"/>
        <w:rPr>
          <w:rFonts w:ascii="黑体" w:hAnsi="黑体" w:eastAsia="黑体"/>
          <w:b/>
          <w:sz w:val="32"/>
          <w:szCs w:val="32"/>
        </w:rPr>
      </w:pPr>
    </w:p>
    <w:p>
      <w:pPr>
        <w:spacing w:line="440" w:lineRule="exact"/>
        <w:jc w:val="center"/>
        <w:rPr>
          <w:rFonts w:ascii="黑体" w:hAnsi="黑体" w:eastAsia="黑体"/>
          <w:b/>
          <w:sz w:val="32"/>
          <w:szCs w:val="32"/>
        </w:rPr>
      </w:pPr>
    </w:p>
    <w:p>
      <w:pPr>
        <w:pStyle w:val="2"/>
        <w:ind w:firstLine="643"/>
        <w:rPr>
          <w:rFonts w:ascii="黑体" w:hAnsi="黑体" w:eastAsia="黑体"/>
          <w:b/>
          <w:sz w:val="32"/>
          <w:szCs w:val="32"/>
        </w:rPr>
      </w:pPr>
    </w:p>
    <w:p>
      <w:pPr>
        <w:pStyle w:val="2"/>
        <w:ind w:firstLine="643"/>
        <w:rPr>
          <w:rFonts w:ascii="黑体" w:hAnsi="黑体" w:eastAsia="黑体"/>
          <w:b/>
          <w:sz w:val="32"/>
          <w:szCs w:val="32"/>
        </w:rPr>
      </w:pPr>
    </w:p>
    <w:p>
      <w:pPr>
        <w:pStyle w:val="2"/>
        <w:ind w:firstLine="643"/>
        <w:rPr>
          <w:rFonts w:ascii="黑体" w:hAnsi="黑体" w:eastAsia="黑体"/>
          <w:b/>
          <w:sz w:val="32"/>
          <w:szCs w:val="32"/>
        </w:rPr>
      </w:pPr>
    </w:p>
    <w:p>
      <w:pPr>
        <w:pStyle w:val="2"/>
        <w:ind w:firstLine="643"/>
        <w:rPr>
          <w:rFonts w:ascii="黑体" w:hAnsi="黑体" w:eastAsia="黑体"/>
          <w:b/>
          <w:sz w:val="32"/>
          <w:szCs w:val="32"/>
        </w:rPr>
      </w:pPr>
    </w:p>
    <w:p>
      <w:pPr>
        <w:pStyle w:val="2"/>
        <w:ind w:firstLine="643"/>
        <w:rPr>
          <w:rFonts w:ascii="黑体" w:hAnsi="黑体" w:eastAsia="黑体"/>
          <w:b/>
          <w:sz w:val="32"/>
          <w:szCs w:val="32"/>
        </w:rPr>
      </w:pPr>
    </w:p>
    <w:p>
      <w:pPr>
        <w:pStyle w:val="2"/>
        <w:ind w:firstLine="643"/>
        <w:rPr>
          <w:rFonts w:ascii="黑体" w:hAnsi="黑体" w:eastAsia="黑体"/>
          <w:b/>
          <w:sz w:val="32"/>
          <w:szCs w:val="32"/>
        </w:rPr>
      </w:pPr>
    </w:p>
    <w:p>
      <w:pPr>
        <w:pStyle w:val="2"/>
        <w:ind w:firstLine="643"/>
        <w:rPr>
          <w:rFonts w:ascii="黑体" w:hAnsi="黑体" w:eastAsia="黑体"/>
          <w:b/>
          <w:sz w:val="32"/>
          <w:szCs w:val="32"/>
        </w:rPr>
      </w:pPr>
    </w:p>
    <w:p>
      <w:pPr>
        <w:pStyle w:val="2"/>
        <w:ind w:firstLine="643"/>
        <w:rPr>
          <w:rFonts w:ascii="黑体" w:hAnsi="黑体" w:eastAsia="黑体"/>
          <w:b/>
          <w:sz w:val="32"/>
          <w:szCs w:val="32"/>
        </w:rPr>
      </w:pPr>
    </w:p>
    <w:p>
      <w:pPr>
        <w:spacing w:line="440" w:lineRule="exact"/>
        <w:jc w:val="center"/>
      </w:pPr>
      <w:r>
        <w:rPr>
          <w:rFonts w:hint="eastAsia" w:ascii="黑体" w:hAnsi="黑体" w:eastAsia="黑体"/>
          <w:b/>
          <w:sz w:val="32"/>
          <w:szCs w:val="32"/>
        </w:rPr>
        <w:t>八．其它资料</w:t>
      </w:r>
    </w:p>
    <w:p/>
    <w:p>
      <w:pPr>
        <w:spacing w:line="360" w:lineRule="auto"/>
        <w:ind w:firstLine="358" w:firstLineChars="112"/>
        <w:jc w:val="center"/>
        <w:rPr>
          <w:sz w:val="32"/>
        </w:rPr>
      </w:pPr>
    </w:p>
    <w:p>
      <w:pPr>
        <w:spacing w:line="360" w:lineRule="auto"/>
        <w:ind w:firstLine="358" w:firstLineChars="112"/>
        <w:rPr>
          <w:sz w:val="32"/>
        </w:rPr>
      </w:pPr>
    </w:p>
    <w:p>
      <w:pPr>
        <w:spacing w:line="360" w:lineRule="auto"/>
        <w:ind w:firstLine="358" w:firstLineChars="112"/>
        <w:rPr>
          <w:sz w:val="32"/>
        </w:rPr>
      </w:pPr>
    </w:p>
    <w:p>
      <w:pPr>
        <w:spacing w:line="360" w:lineRule="auto"/>
        <w:ind w:firstLine="268" w:firstLineChars="112"/>
        <w:jc w:val="center"/>
        <w:rPr>
          <w:sz w:val="24"/>
        </w:rPr>
      </w:pPr>
      <w:r>
        <w:rPr>
          <w:rFonts w:hint="eastAsia"/>
          <w:sz w:val="24"/>
        </w:rPr>
        <w:t xml:space="preserve">           </w:t>
      </w: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spacing w:line="360" w:lineRule="auto"/>
        <w:ind w:firstLine="268" w:firstLineChars="112"/>
        <w:rPr>
          <w:sz w:val="24"/>
        </w:rPr>
      </w:pPr>
    </w:p>
    <w:p>
      <w:pPr>
        <w:pStyle w:val="2"/>
        <w:ind w:firstLine="480"/>
        <w:rPr>
          <w:sz w:val="24"/>
        </w:rPr>
      </w:pPr>
    </w:p>
    <w:p>
      <w:pPr>
        <w:pStyle w:val="2"/>
        <w:ind w:firstLine="480"/>
        <w:rPr>
          <w:sz w:val="24"/>
        </w:rPr>
      </w:pPr>
    </w:p>
    <w:p>
      <w:pPr>
        <w:spacing w:line="360" w:lineRule="auto"/>
        <w:ind w:firstLine="268" w:firstLineChars="112"/>
        <w:rPr>
          <w:sz w:val="24"/>
        </w:rPr>
      </w:pPr>
    </w:p>
    <w:p>
      <w:pPr>
        <w:pStyle w:val="2"/>
        <w:ind w:firstLine="560"/>
      </w:pPr>
    </w:p>
    <w:p>
      <w:pPr>
        <w:pStyle w:val="2"/>
        <w:ind w:firstLine="480"/>
        <w:rPr>
          <w:sz w:val="24"/>
        </w:rPr>
      </w:pPr>
    </w:p>
    <w:p>
      <w:pPr>
        <w:spacing w:line="360" w:lineRule="auto"/>
        <w:rPr>
          <w:sz w:val="24"/>
        </w:rPr>
      </w:pPr>
      <w:bookmarkStart w:id="167" w:name="_Toc2546"/>
      <w:bookmarkStart w:id="168" w:name="_Toc499566158"/>
      <w:bookmarkStart w:id="169" w:name="_Toc413941340"/>
    </w:p>
    <w:p>
      <w:pPr>
        <w:pStyle w:val="4"/>
        <w:jc w:val="center"/>
        <w:rPr>
          <w:b w:val="0"/>
        </w:rPr>
      </w:pPr>
      <w:r>
        <w:rPr>
          <w:rFonts w:hint="eastAsia"/>
          <w:b w:val="0"/>
        </w:rPr>
        <w:t>（二）、反商业贿赂承诺书</w:t>
      </w:r>
      <w:bookmarkEnd w:id="167"/>
      <w:bookmarkEnd w:id="168"/>
      <w:bookmarkEnd w:id="169"/>
    </w:p>
    <w:p>
      <w:pPr>
        <w:spacing w:line="360" w:lineRule="auto"/>
        <w:ind w:left="764" w:leftChars="171" w:hanging="405" w:hangingChars="169"/>
        <w:rPr>
          <w:sz w:val="24"/>
        </w:rPr>
      </w:pPr>
      <w:r>
        <w:rPr>
          <w:rFonts w:hint="eastAsia"/>
          <w:sz w:val="24"/>
        </w:rPr>
        <w:t>我公司承诺：</w:t>
      </w:r>
    </w:p>
    <w:p>
      <w:pPr>
        <w:spacing w:line="360" w:lineRule="auto"/>
        <w:ind w:left="764" w:leftChars="171" w:hanging="405" w:hangingChars="169"/>
        <w:rPr>
          <w:sz w:val="24"/>
        </w:rPr>
      </w:pPr>
      <w:r>
        <w:rPr>
          <w:rFonts w:hint="eastAsia"/>
          <w:sz w:val="24"/>
        </w:rPr>
        <w:t xml:space="preserve">在 </w:t>
      </w:r>
      <w:r>
        <w:rPr>
          <w:rFonts w:hint="eastAsia"/>
          <w:sz w:val="24"/>
          <w:u w:val="single"/>
        </w:rPr>
        <w:t xml:space="preserve">（投标项目名称）  </w:t>
      </w:r>
      <w:r>
        <w:rPr>
          <w:rFonts w:hint="eastAsia"/>
          <w:sz w:val="24"/>
        </w:rPr>
        <w:t>招标活动中，我公司保证做到：</w:t>
      </w:r>
    </w:p>
    <w:p>
      <w:pPr>
        <w:spacing w:line="360" w:lineRule="auto"/>
        <w:ind w:left="764" w:leftChars="171" w:hanging="405" w:hangingChars="169"/>
        <w:rPr>
          <w:sz w:val="24"/>
        </w:rPr>
      </w:pPr>
      <w:r>
        <w:rPr>
          <w:rFonts w:hint="eastAsia"/>
          <w:sz w:val="24"/>
        </w:rPr>
        <w:t>一、公平竞争参加本次招标活动。</w:t>
      </w:r>
    </w:p>
    <w:p>
      <w:pPr>
        <w:spacing w:line="360" w:lineRule="auto"/>
        <w:ind w:left="764" w:leftChars="171" w:hanging="405" w:hangingChars="169"/>
        <w:rPr>
          <w:sz w:val="24"/>
        </w:rPr>
      </w:pPr>
      <w:r>
        <w:rPr>
          <w:rFonts w:hint="eastAsia"/>
          <w:sz w:val="24"/>
        </w:rPr>
        <w:t>二、杜绝任何形式的商业贿赂行为。不向国家工作人员、政府采购代理机构工作人员、评审专家及其亲属提供礼品礼金、有价证券、购物券、回扣、佣金、咨询费、劳务费、赞助费、宣传费、宴请；不为其报销各种报销凭证，不支付其旅游、娱乐等费用。</w:t>
      </w:r>
    </w:p>
    <w:p>
      <w:pPr>
        <w:spacing w:line="360" w:lineRule="auto"/>
        <w:ind w:left="764" w:leftChars="171" w:hanging="405" w:hangingChars="169"/>
        <w:rPr>
          <w:sz w:val="24"/>
        </w:rPr>
      </w:pPr>
      <w:r>
        <w:rPr>
          <w:rFonts w:hint="eastAsia"/>
          <w:sz w:val="24"/>
        </w:rPr>
        <w:t>三、若出现上述行为，我公司及参与投标的工作人员愿意接受按照国家法律法规等有关规定给予的处罚。</w:t>
      </w: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r>
        <w:rPr>
          <w:rFonts w:hint="eastAsia"/>
          <w:sz w:val="24"/>
        </w:rPr>
        <w:t xml:space="preserve">      公司法定代表人（</w:t>
      </w:r>
      <w:r>
        <w:rPr>
          <w:rFonts w:hint="eastAsia" w:ascii="宋体" w:hAnsi="宋体"/>
          <w:sz w:val="24"/>
        </w:rPr>
        <w:t>电子签章</w:t>
      </w:r>
      <w:r>
        <w:rPr>
          <w:rFonts w:hint="eastAsia"/>
          <w:sz w:val="24"/>
        </w:rPr>
        <w:t>）：</w:t>
      </w:r>
    </w:p>
    <w:p>
      <w:pPr>
        <w:spacing w:line="360" w:lineRule="auto"/>
        <w:ind w:left="764" w:leftChars="171" w:hanging="405" w:hangingChars="169"/>
        <w:rPr>
          <w:sz w:val="24"/>
        </w:rPr>
      </w:pPr>
      <w:r>
        <w:rPr>
          <w:rFonts w:hint="eastAsia"/>
          <w:sz w:val="24"/>
        </w:rPr>
        <w:t xml:space="preserve">      被授权代表（</w:t>
      </w:r>
      <w:r>
        <w:rPr>
          <w:rFonts w:hint="eastAsia" w:ascii="宋体" w:hAnsi="宋体"/>
          <w:sz w:val="24"/>
        </w:rPr>
        <w:t>电子签章</w:t>
      </w:r>
      <w:r>
        <w:rPr>
          <w:rFonts w:hint="eastAsia"/>
          <w:sz w:val="24"/>
        </w:rPr>
        <w:t>）：</w:t>
      </w: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r>
        <w:rPr>
          <w:rFonts w:hint="eastAsia"/>
          <w:sz w:val="24"/>
        </w:rPr>
        <w:t xml:space="preserve">                                                    （公  章）</w:t>
      </w:r>
    </w:p>
    <w:p>
      <w:pPr>
        <w:spacing w:line="360" w:lineRule="auto"/>
        <w:ind w:left="764" w:leftChars="171" w:hanging="405" w:hangingChars="169"/>
        <w:rPr>
          <w:sz w:val="24"/>
        </w:rPr>
      </w:pPr>
      <w:r>
        <w:rPr>
          <w:rFonts w:hint="eastAsia"/>
          <w:sz w:val="24"/>
        </w:rPr>
        <w:t xml:space="preserve">                                               日期：   年   月   日</w:t>
      </w: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p>
    <w:p>
      <w:pPr>
        <w:pStyle w:val="4"/>
        <w:jc w:val="center"/>
        <w:rPr>
          <w:b w:val="0"/>
        </w:rPr>
      </w:pPr>
      <w:bookmarkStart w:id="170" w:name="_Toc27265"/>
      <w:bookmarkStart w:id="171" w:name="_Toc499566159"/>
      <w:r>
        <w:rPr>
          <w:rFonts w:hint="eastAsia"/>
          <w:b w:val="0"/>
        </w:rPr>
        <w:t>（三）、中小企业声明函</w:t>
      </w:r>
      <w:bookmarkEnd w:id="170"/>
      <w:bookmarkEnd w:id="171"/>
    </w:p>
    <w:p>
      <w:pPr>
        <w:spacing w:line="360" w:lineRule="auto"/>
        <w:ind w:left="422" w:leftChars="201" w:firstLine="480" w:firstLineChars="200"/>
        <w:rPr>
          <w:sz w:val="24"/>
        </w:rPr>
      </w:pPr>
      <w:r>
        <w:rPr>
          <w:rFonts w:hint="eastAsia"/>
          <w:sz w:val="24"/>
        </w:rPr>
        <w:t>本公司郑重声明，根据《政府采购促进中小企业发展暂行办法》（财库[2011]181号）的规定，本公司为______（请填写：中型、小型、微型）企业。即，本公司同时满足以下条件：</w:t>
      </w:r>
    </w:p>
    <w:p>
      <w:pPr>
        <w:spacing w:line="360" w:lineRule="auto"/>
        <w:ind w:left="281" w:leftChars="134" w:firstLine="432" w:firstLineChars="180"/>
        <w:rPr>
          <w:sz w:val="24"/>
        </w:rPr>
      </w:pPr>
      <w:r>
        <w:rPr>
          <w:rFonts w:hint="eastAsia"/>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left="283" w:leftChars="135" w:firstLine="480" w:firstLineChars="200"/>
        <w:rPr>
          <w:sz w:val="24"/>
        </w:rPr>
      </w:pPr>
      <w:r>
        <w:rPr>
          <w:rFonts w:hint="eastAsia"/>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left="764" w:leftChars="171" w:hanging="405" w:hangingChars="169"/>
        <w:rPr>
          <w:sz w:val="24"/>
        </w:rPr>
      </w:pPr>
    </w:p>
    <w:p>
      <w:pPr>
        <w:spacing w:line="360" w:lineRule="auto"/>
        <w:ind w:left="764" w:leftChars="171" w:hanging="405" w:hangingChars="169"/>
        <w:rPr>
          <w:sz w:val="24"/>
        </w:rPr>
      </w:pPr>
      <w:r>
        <w:rPr>
          <w:rFonts w:hint="eastAsia"/>
          <w:sz w:val="24"/>
        </w:rPr>
        <w:t>本公司对上述声明的真实性负责。如有虚假，将依法承担相应责任。</w:t>
      </w:r>
    </w:p>
    <w:p>
      <w:pPr>
        <w:spacing w:line="360" w:lineRule="auto"/>
        <w:ind w:left="764" w:leftChars="171" w:hanging="405" w:hangingChars="169"/>
        <w:rPr>
          <w:sz w:val="24"/>
        </w:rPr>
      </w:pPr>
    </w:p>
    <w:p>
      <w:pPr>
        <w:spacing w:line="360" w:lineRule="auto"/>
        <w:ind w:left="764" w:leftChars="171" w:hanging="405" w:hangingChars="169"/>
        <w:rPr>
          <w:sz w:val="24"/>
        </w:rPr>
      </w:pPr>
      <w:r>
        <w:rPr>
          <w:rFonts w:hint="eastAsia"/>
          <w:sz w:val="24"/>
        </w:rPr>
        <w:t>企业名称（</w:t>
      </w:r>
      <w:r>
        <w:rPr>
          <w:rFonts w:hint="eastAsia" w:ascii="宋体" w:hAnsi="宋体"/>
          <w:sz w:val="24"/>
        </w:rPr>
        <w:t>电子签章</w:t>
      </w:r>
      <w:r>
        <w:rPr>
          <w:rFonts w:hint="eastAsia"/>
          <w:sz w:val="24"/>
        </w:rPr>
        <w:t>）：</w:t>
      </w:r>
    </w:p>
    <w:p>
      <w:pPr>
        <w:spacing w:line="360" w:lineRule="auto"/>
        <w:ind w:left="569" w:leftChars="271" w:right="960" w:firstLine="4320" w:firstLineChars="1800"/>
        <w:rPr>
          <w:sz w:val="24"/>
        </w:rPr>
      </w:pPr>
      <w:r>
        <w:rPr>
          <w:rFonts w:hint="eastAsia"/>
          <w:sz w:val="24"/>
        </w:rPr>
        <w:t>日期：   年   月   日</w:t>
      </w: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r>
        <w:rPr>
          <w:rFonts w:hint="eastAsia"/>
          <w:sz w:val="24"/>
        </w:rPr>
        <w:t>注：</w:t>
      </w:r>
    </w:p>
    <w:p>
      <w:pPr>
        <w:spacing w:line="360" w:lineRule="auto"/>
        <w:ind w:left="766" w:leftChars="171" w:hanging="407" w:hangingChars="169"/>
        <w:rPr>
          <w:b/>
          <w:sz w:val="24"/>
        </w:rPr>
      </w:pPr>
      <w:r>
        <w:rPr>
          <w:rFonts w:hint="eastAsia"/>
          <w:b/>
          <w:sz w:val="24"/>
        </w:rPr>
        <w:t>1、该声明函是针对小微型企业的，非小型、微型企业产品投标时不用提供该声明函。</w:t>
      </w:r>
    </w:p>
    <w:p>
      <w:pPr>
        <w:spacing w:line="360" w:lineRule="auto"/>
        <w:ind w:left="421" w:leftChars="170" w:hanging="64" w:hangingChars="27"/>
        <w:rPr>
          <w:sz w:val="24"/>
        </w:rPr>
      </w:pPr>
      <w:r>
        <w:rPr>
          <w:rFonts w:hint="eastAsia"/>
          <w:sz w:val="24"/>
        </w:rPr>
        <w:t>2、根据《政府采购促进中小企业发展暂行办法》(财库[2011]181号)的规定，对于非专门面向中小企业的项目，对小型和微型企业产品的价格给予6%的扣除，用扣除后的价格参与评审。</w:t>
      </w:r>
    </w:p>
    <w:p>
      <w:pPr>
        <w:spacing w:line="360" w:lineRule="auto"/>
        <w:ind w:left="283" w:leftChars="135" w:firstLine="74" w:firstLineChars="31"/>
        <w:rPr>
          <w:sz w:val="24"/>
        </w:rPr>
      </w:pPr>
      <w:r>
        <w:rPr>
          <w:rFonts w:hint="eastAsia"/>
          <w:sz w:val="24"/>
        </w:rPr>
        <w:t>3、必须同时提供由企业所在地的县级以上中小企业主管部门出具的中小企业认定证书和中小企业声明函，否则不予认可。</w:t>
      </w:r>
    </w:p>
    <w:p>
      <w:pPr>
        <w:spacing w:line="360" w:lineRule="auto"/>
        <w:ind w:left="283" w:leftChars="135" w:firstLine="74" w:firstLineChars="31"/>
        <w:rPr>
          <w:sz w:val="24"/>
        </w:rPr>
      </w:pPr>
    </w:p>
    <w:p>
      <w:pPr>
        <w:spacing w:line="360" w:lineRule="auto"/>
        <w:ind w:left="283" w:leftChars="135" w:firstLine="74" w:firstLineChars="31"/>
        <w:rPr>
          <w:sz w:val="24"/>
        </w:rPr>
      </w:pPr>
    </w:p>
    <w:p>
      <w:pPr>
        <w:spacing w:line="360" w:lineRule="auto"/>
        <w:ind w:left="283" w:leftChars="135" w:firstLine="74" w:firstLineChars="31"/>
        <w:rPr>
          <w:sz w:val="24"/>
        </w:rPr>
      </w:pPr>
    </w:p>
    <w:p>
      <w:pPr>
        <w:pStyle w:val="4"/>
        <w:ind w:left="2"/>
        <w:jc w:val="center"/>
        <w:rPr>
          <w:b w:val="0"/>
        </w:rPr>
      </w:pPr>
      <w:bookmarkStart w:id="172" w:name="_Toc499566160"/>
      <w:bookmarkStart w:id="173" w:name="_Toc10427"/>
      <w:r>
        <w:rPr>
          <w:rFonts w:hint="eastAsia"/>
          <w:b w:val="0"/>
        </w:rPr>
        <w:t>（四）、残疾人福利性单位声明函</w:t>
      </w:r>
      <w:bookmarkEnd w:id="172"/>
      <w:bookmarkEnd w:id="173"/>
    </w:p>
    <w:p>
      <w:pPr>
        <w:spacing w:line="588" w:lineRule="exact"/>
        <w:ind w:firstLine="480" w:firstLineChars="200"/>
        <w:rPr>
          <w:sz w:val="24"/>
        </w:rPr>
      </w:pPr>
      <w:r>
        <w:rPr>
          <w:rFonts w:hint="eastAsia"/>
          <w:sz w:val="24"/>
        </w:rPr>
        <w:t>本单位郑重声明，根据《财政部民政部中国残疾人联合会关于促进残疾人就业政府采购政策的通知》（财库〔</w:t>
      </w:r>
      <w:r>
        <w:rPr>
          <w:sz w:val="24"/>
        </w:rPr>
        <w:t>2017</w:t>
      </w:r>
      <w:r>
        <w:rPr>
          <w:rFonts w:hint="eastAsia"/>
          <w:sz w:val="24"/>
        </w:rPr>
        <w:t>〕</w:t>
      </w:r>
      <w:r>
        <w:rPr>
          <w:sz w:val="24"/>
        </w:rPr>
        <w:t xml:space="preserve"> 141</w:t>
      </w:r>
      <w:r>
        <w:rPr>
          <w:rFonts w:hint="eastAsia"/>
          <w:sz w:val="24"/>
        </w:rPr>
        <w:t>号）的规定，本单位为符合条件的残疾人福利性单位，且本单位参加单位的项目采购活动提供本单位制造的货物（由本单位承担工程</w:t>
      </w:r>
      <w:r>
        <w:rPr>
          <w:sz w:val="24"/>
        </w:rPr>
        <w:t>/</w:t>
      </w:r>
      <w:r>
        <w:rPr>
          <w:rFonts w:hint="eastAsia"/>
          <w:sz w:val="24"/>
        </w:rPr>
        <w:t>提供服务），或者提供其他残疾人福利性单位制造的货物（不包括使用非残疾人福利性单位注册商标的货物）。</w:t>
      </w:r>
    </w:p>
    <w:p>
      <w:pPr>
        <w:spacing w:line="588" w:lineRule="exact"/>
        <w:ind w:firstLine="480" w:firstLineChars="200"/>
        <w:rPr>
          <w:sz w:val="24"/>
        </w:rPr>
      </w:pPr>
      <w:r>
        <w:rPr>
          <w:rFonts w:hint="eastAsia"/>
          <w:sz w:val="24"/>
        </w:rPr>
        <w:t>本单位对上述声明的真实性负责。如有虚假，将依法承担相应责任。</w:t>
      </w:r>
    </w:p>
    <w:p>
      <w:pPr>
        <w:spacing w:line="588" w:lineRule="exact"/>
        <w:ind w:firstLine="480" w:firstLineChars="200"/>
        <w:rPr>
          <w:sz w:val="24"/>
        </w:rPr>
      </w:pPr>
    </w:p>
    <w:p>
      <w:pPr>
        <w:spacing w:line="588" w:lineRule="exact"/>
        <w:ind w:firstLine="480" w:firstLineChars="200"/>
        <w:rPr>
          <w:sz w:val="24"/>
        </w:rPr>
      </w:pPr>
    </w:p>
    <w:p>
      <w:pPr>
        <w:tabs>
          <w:tab w:val="left" w:pos="4860"/>
        </w:tabs>
        <w:spacing w:line="588" w:lineRule="exact"/>
        <w:ind w:right="1560" w:firstLine="480" w:firstLineChars="200"/>
        <w:jc w:val="right"/>
        <w:rPr>
          <w:sz w:val="24"/>
        </w:rPr>
      </w:pPr>
      <w:r>
        <w:rPr>
          <w:rFonts w:hint="eastAsia"/>
          <w:sz w:val="24"/>
        </w:rPr>
        <w:t>单位名称（</w:t>
      </w:r>
      <w:r>
        <w:rPr>
          <w:rFonts w:hint="eastAsia" w:ascii="宋体" w:hAnsi="宋体"/>
          <w:sz w:val="24"/>
        </w:rPr>
        <w:t>电子签章</w:t>
      </w:r>
      <w:r>
        <w:rPr>
          <w:rFonts w:hint="eastAsia"/>
          <w:sz w:val="24"/>
        </w:rPr>
        <w:t>）：</w:t>
      </w:r>
    </w:p>
    <w:p>
      <w:pPr>
        <w:tabs>
          <w:tab w:val="left" w:pos="4860"/>
        </w:tabs>
        <w:spacing w:line="588" w:lineRule="exact"/>
        <w:ind w:right="1560" w:firstLine="480" w:firstLineChars="200"/>
        <w:jc w:val="right"/>
        <w:rPr>
          <w:sz w:val="24"/>
        </w:rPr>
      </w:pPr>
      <w:r>
        <w:rPr>
          <w:rFonts w:hint="eastAsia"/>
          <w:sz w:val="24"/>
        </w:rPr>
        <w:t xml:space="preserve">        日      期：</w:t>
      </w: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4" w:leftChars="171" w:hanging="405" w:hangingChars="169"/>
        <w:rPr>
          <w:sz w:val="24"/>
        </w:rPr>
      </w:pPr>
    </w:p>
    <w:p>
      <w:pPr>
        <w:spacing w:line="360" w:lineRule="auto"/>
        <w:ind w:left="766" w:leftChars="171" w:hanging="407" w:hangingChars="169"/>
        <w:rPr>
          <w:b/>
          <w:sz w:val="24"/>
        </w:rPr>
      </w:pPr>
      <w:r>
        <w:rPr>
          <w:rFonts w:hint="eastAsia"/>
          <w:b/>
          <w:sz w:val="24"/>
        </w:rPr>
        <w:t>注：该声明函是针对符合条件的残疾人福利性单位的，不属于符合条件的残疾人福利性单位的，投标时不用提供该声明函。</w:t>
      </w:r>
    </w:p>
    <w:p>
      <w:pPr>
        <w:pStyle w:val="4"/>
      </w:pPr>
    </w:p>
    <w:p/>
    <w:p/>
    <w:p/>
    <w:p>
      <w:pPr>
        <w:pStyle w:val="19"/>
        <w:ind w:firstLine="210"/>
      </w:pPr>
    </w:p>
    <w:p>
      <w:pPr>
        <w:pStyle w:val="19"/>
        <w:ind w:firstLine="210"/>
      </w:pPr>
    </w:p>
    <w:p>
      <w:pPr>
        <w:pStyle w:val="19"/>
        <w:ind w:firstLine="210"/>
      </w:pPr>
    </w:p>
    <w:p>
      <w:pPr>
        <w:pStyle w:val="19"/>
        <w:ind w:firstLine="210"/>
      </w:pPr>
    </w:p>
    <w:p>
      <w:pPr>
        <w:pStyle w:val="19"/>
        <w:ind w:firstLine="210"/>
      </w:pPr>
    </w:p>
    <w:p>
      <w:pPr>
        <w:pStyle w:val="19"/>
        <w:ind w:firstLine="210"/>
      </w:pPr>
    </w:p>
    <w:p>
      <w:pPr>
        <w:pStyle w:val="19"/>
        <w:ind w:firstLine="210"/>
      </w:pPr>
    </w:p>
    <w:p>
      <w:pPr>
        <w:spacing w:line="276" w:lineRule="auto"/>
        <w:jc w:val="center"/>
        <w:rPr>
          <w:rFonts w:ascii="宋体" w:hAnsi="宋体" w:cs="宋体"/>
          <w:b/>
          <w:bCs/>
          <w:sz w:val="30"/>
          <w:szCs w:val="30"/>
        </w:rPr>
      </w:pPr>
      <w:r>
        <w:rPr>
          <w:rFonts w:hint="eastAsia" w:ascii="宋体" w:hAnsi="宋体" w:cs="宋体"/>
          <w:b/>
          <w:bCs/>
          <w:sz w:val="30"/>
          <w:szCs w:val="30"/>
        </w:rPr>
        <w:t>全流程电子化交易注意事项</w:t>
      </w:r>
    </w:p>
    <w:p>
      <w:pPr>
        <w:spacing w:line="360" w:lineRule="auto"/>
        <w:ind w:firstLine="315" w:firstLineChars="150"/>
        <w:rPr>
          <w:rFonts w:ascii="宋体" w:hAnsi="宋体" w:cs="宋体"/>
          <w:szCs w:val="22"/>
        </w:rPr>
      </w:pPr>
      <w:r>
        <w:rPr>
          <w:rFonts w:hint="eastAsia" w:ascii="宋体" w:hAnsi="宋体" w:cs="宋体"/>
          <w:szCs w:val="22"/>
        </w:rPr>
        <w:t>电子化交易项目投标文件是供应商、供应商（以下简称“供应商”）通过中心投标文件制作系统制作，并经过签章和加密后生成的电子版投标文件。（电子化投标文件具体制作教材请供应商通过CA证书登录公共资源电子化交易系统在右上角“组件下载”中查看）制作电子化投标文件，需仔细阅读以下条款。</w:t>
      </w:r>
    </w:p>
    <w:p>
      <w:pPr>
        <w:spacing w:line="360" w:lineRule="auto"/>
        <w:rPr>
          <w:rFonts w:ascii="宋体" w:hAnsi="宋体" w:cs="宋体"/>
          <w:szCs w:val="22"/>
        </w:rPr>
      </w:pPr>
      <w:bookmarkStart w:id="174" w:name="_Toc31207_WPSOffice_Level1"/>
      <w:r>
        <w:rPr>
          <w:rFonts w:hint="eastAsia" w:ascii="宋体" w:hAnsi="宋体" w:cs="宋体"/>
          <w:szCs w:val="22"/>
        </w:rPr>
        <w:t>一、电子化投标</w:t>
      </w:r>
      <w:bookmarkEnd w:id="174"/>
    </w:p>
    <w:p>
      <w:pPr>
        <w:spacing w:line="360" w:lineRule="auto"/>
        <w:rPr>
          <w:rFonts w:ascii="宋体" w:hAnsi="宋体" w:cs="宋体"/>
          <w:szCs w:val="22"/>
        </w:rPr>
      </w:pPr>
      <w:r>
        <w:rPr>
          <w:rFonts w:hint="eastAsia" w:ascii="宋体" w:hAnsi="宋体" w:cs="宋体"/>
          <w:szCs w:val="22"/>
        </w:rPr>
        <w:t>（一）网上投标保证金的缴纳</w:t>
      </w:r>
    </w:p>
    <w:p>
      <w:pPr>
        <w:spacing w:line="360" w:lineRule="auto"/>
        <w:rPr>
          <w:rFonts w:ascii="宋体" w:hAnsi="宋体" w:cs="宋体"/>
          <w:szCs w:val="22"/>
        </w:rPr>
      </w:pPr>
      <w:r>
        <w:rPr>
          <w:rFonts w:hint="eastAsia" w:ascii="宋体" w:hAnsi="宋体" w:cs="宋体"/>
          <w:szCs w:val="22"/>
        </w:rPr>
        <w:t>1、递交形式: 供应商的投标保证金必须通过供应商基本账户以转账或电汇的形式缴纳（账户必须是已加入平顶山市公共资源交易供应商或供应商诚信库中的账户）。</w:t>
      </w:r>
    </w:p>
    <w:p>
      <w:pPr>
        <w:spacing w:line="360" w:lineRule="auto"/>
        <w:rPr>
          <w:rFonts w:ascii="宋体" w:hAnsi="宋体" w:cs="宋体"/>
          <w:szCs w:val="22"/>
        </w:rPr>
      </w:pPr>
      <w:r>
        <w:rPr>
          <w:rFonts w:hint="eastAsia" w:ascii="宋体" w:hAnsi="宋体" w:cs="宋体"/>
          <w:szCs w:val="22"/>
        </w:rPr>
        <w:t>2、供应商缴纳投标保证金后，应在规定的缴纳截止时间前通过平顶山市公共资源电子化交易系统将保证金成功绑定至所投标项目和标段。保证金绑定操作手册，请登录平顶山市公共资源交易中心网站在办事指南中网上投标栏目查看。</w:t>
      </w:r>
    </w:p>
    <w:p>
      <w:pPr>
        <w:spacing w:line="360" w:lineRule="auto"/>
        <w:rPr>
          <w:rFonts w:ascii="宋体" w:hAnsi="宋体" w:cs="宋体"/>
          <w:szCs w:val="22"/>
        </w:rPr>
      </w:pPr>
      <w:r>
        <w:rPr>
          <w:rFonts w:hint="eastAsia" w:ascii="宋体" w:hAnsi="宋体" w:cs="宋体"/>
          <w:szCs w:val="22"/>
        </w:rPr>
        <w:t>3、供应商在成功绑定后，可以将系统生成的回执单图片制作在投标文件中，作为缴纳保证金的依据。</w:t>
      </w:r>
    </w:p>
    <w:p>
      <w:pPr>
        <w:spacing w:line="360" w:lineRule="auto"/>
        <w:rPr>
          <w:rFonts w:ascii="宋体" w:hAnsi="宋体" w:cs="宋体"/>
          <w:szCs w:val="22"/>
        </w:rPr>
      </w:pPr>
      <w:r>
        <w:rPr>
          <w:rFonts w:hint="eastAsia" w:ascii="宋体" w:hAnsi="宋体" w:cs="宋体"/>
          <w:szCs w:val="22"/>
        </w:rPr>
        <w:t>4、供应商应仔细阅读操作手册并充分考虑异地跨行转账到账时间等因素，因供应商操作不当或银行到账时间等问题造成保证金无法正常绑定影响投标的，由供应商自行承担后果。</w:t>
      </w:r>
    </w:p>
    <w:p>
      <w:pPr>
        <w:spacing w:line="360" w:lineRule="auto"/>
        <w:rPr>
          <w:rFonts w:ascii="宋体" w:hAnsi="宋体" w:cs="宋体"/>
          <w:szCs w:val="22"/>
        </w:rPr>
      </w:pPr>
      <w:r>
        <w:rPr>
          <w:rFonts w:hint="eastAsia" w:ascii="宋体" w:hAnsi="宋体" w:cs="宋体"/>
          <w:szCs w:val="22"/>
        </w:rPr>
        <w:t>5、未中标供应商的投标保证金在项目结束后，由中介服务机构向中心项目负责人提出退款申请，项目负责人同意并经财务部门核对后，通过中心交易平台退还给供应商。</w:t>
      </w:r>
    </w:p>
    <w:p>
      <w:pPr>
        <w:spacing w:line="360" w:lineRule="auto"/>
        <w:rPr>
          <w:rFonts w:ascii="宋体" w:hAnsi="宋体" w:cs="宋体"/>
          <w:szCs w:val="22"/>
        </w:rPr>
      </w:pPr>
      <w:r>
        <w:rPr>
          <w:rFonts w:hint="eastAsia" w:ascii="宋体" w:hAnsi="宋体" w:cs="宋体"/>
          <w:szCs w:val="22"/>
        </w:rPr>
        <w:t>（二）电子化投标文件的签章</w:t>
      </w:r>
    </w:p>
    <w:p>
      <w:pPr>
        <w:spacing w:line="360" w:lineRule="auto"/>
        <w:rPr>
          <w:rFonts w:ascii="宋体" w:hAnsi="宋体" w:cs="宋体"/>
          <w:szCs w:val="22"/>
        </w:rPr>
      </w:pPr>
      <w:r>
        <w:rPr>
          <w:rFonts w:hint="eastAsia" w:ascii="宋体" w:hAnsi="宋体" w:cs="宋体"/>
          <w:szCs w:val="22"/>
        </w:rPr>
        <w:t>1、供应商在生成电子化投标文件后，应对电子化投标文件进行签章，未进行签章的视为无效投标。</w:t>
      </w:r>
    </w:p>
    <w:p>
      <w:pPr>
        <w:spacing w:line="360" w:lineRule="auto"/>
        <w:rPr>
          <w:rFonts w:ascii="宋体" w:hAnsi="宋体" w:cs="宋体"/>
          <w:szCs w:val="22"/>
        </w:rPr>
      </w:pPr>
      <w:r>
        <w:rPr>
          <w:rFonts w:hint="eastAsia" w:ascii="宋体" w:hAnsi="宋体" w:cs="宋体"/>
          <w:szCs w:val="22"/>
        </w:rPr>
        <w:t>2、招标文件中要求法定代表人或授权委托人签字或盖章的，供应商在进行电子化投标文件签章时，以签盖法定代表人签章为准。电子化投标文件具体制作教材请供应商通过CA证书登录平顶山市公共资源电子化交易系统在右上角“组建下载”中查看。</w:t>
      </w:r>
    </w:p>
    <w:p>
      <w:pPr>
        <w:spacing w:line="360" w:lineRule="auto"/>
        <w:rPr>
          <w:rFonts w:ascii="宋体" w:hAnsi="宋体" w:cs="宋体"/>
          <w:szCs w:val="22"/>
        </w:rPr>
      </w:pPr>
      <w:r>
        <w:rPr>
          <w:rFonts w:hint="eastAsia" w:ascii="宋体" w:hAnsi="宋体" w:cs="宋体"/>
          <w:szCs w:val="22"/>
        </w:rPr>
        <w:t>（三）电子化投标文件的格式及上传投标</w:t>
      </w:r>
    </w:p>
    <w:p>
      <w:pPr>
        <w:spacing w:line="360" w:lineRule="auto"/>
        <w:rPr>
          <w:rFonts w:ascii="宋体" w:hAnsi="宋体" w:cs="宋体"/>
          <w:szCs w:val="22"/>
        </w:rPr>
      </w:pPr>
      <w:r>
        <w:rPr>
          <w:rFonts w:hint="eastAsia" w:ascii="宋体" w:hAnsi="宋体" w:cs="宋体"/>
          <w:szCs w:val="22"/>
        </w:rPr>
        <w:t>1、供应商所上传的电子化投标文件，应是通过中心投标文件制作系统制作的，经过签章和加密后生成的电子版投标文件。生成的电子版投标文件包含用于投标文件上传的主文件（项目文件格式为：xxx公司_ 项目名称.file）和用于应急补救的投标文件备份文件（项目文件格式为：xxx公司_ 项目名称.bin），备份文件主要用于电子化开标出现技术问题后的补救，请供应商随身携带。</w:t>
      </w:r>
    </w:p>
    <w:p>
      <w:pPr>
        <w:spacing w:line="360" w:lineRule="auto"/>
        <w:rPr>
          <w:rFonts w:ascii="宋体" w:hAnsi="宋体" w:cs="宋体"/>
          <w:b/>
          <w:bCs/>
          <w:szCs w:val="22"/>
        </w:rPr>
      </w:pPr>
      <w:r>
        <w:rPr>
          <w:rFonts w:hint="eastAsia" w:ascii="宋体" w:hAnsi="宋体" w:cs="宋体"/>
          <w:b/>
          <w:bCs/>
          <w:szCs w:val="22"/>
        </w:rPr>
        <w:t>注：（1）供应商投报多个标段的，根据标段制作各个标段的投标文件后上传</w:t>
      </w:r>
    </w:p>
    <w:p>
      <w:pPr>
        <w:spacing w:line="360" w:lineRule="auto"/>
        <w:rPr>
          <w:rFonts w:ascii="宋体" w:hAnsi="宋体" w:cs="宋体"/>
          <w:szCs w:val="22"/>
        </w:rPr>
      </w:pPr>
      <w:r>
        <w:rPr>
          <w:rFonts w:hint="eastAsia" w:ascii="宋体" w:hAnsi="宋体" w:cs="宋体"/>
          <w:szCs w:val="22"/>
        </w:rPr>
        <w:t>2、电子化投标文件应在投标截止时间前成功上传至平顶山市公共资源电子化交易系统。至投标截止时间止，仍未上传成功的电子化投标文件将不予接收。</w:t>
      </w:r>
    </w:p>
    <w:p>
      <w:pPr>
        <w:spacing w:line="360" w:lineRule="auto"/>
        <w:rPr>
          <w:rFonts w:ascii="宋体" w:hAnsi="宋体" w:cs="宋体"/>
          <w:b/>
          <w:bCs/>
          <w:szCs w:val="22"/>
        </w:rPr>
      </w:pPr>
      <w:r>
        <w:rPr>
          <w:rFonts w:hint="eastAsia" w:ascii="宋体" w:hAnsi="宋体" w:cs="宋体"/>
          <w:b/>
          <w:bCs/>
          <w:szCs w:val="22"/>
        </w:rPr>
        <w:t>注：如按照电子化投标操作教材制作完成的电子化投标文件无法上传的，供应商应在投标截止时间前尽早的联系中心技术人员，以便有充分的时间进行处理。供应商应充分考虑到处理技术问题和上传数据等工作所需的时间问题，投标文件未在投标截止时间前成功上传的，其投标文件不予接收。</w:t>
      </w:r>
    </w:p>
    <w:p>
      <w:pPr>
        <w:spacing w:line="360" w:lineRule="auto"/>
        <w:rPr>
          <w:rFonts w:ascii="宋体" w:hAnsi="宋体" w:cs="宋体"/>
          <w:szCs w:val="22"/>
        </w:rPr>
      </w:pPr>
      <w:r>
        <w:rPr>
          <w:rFonts w:hint="eastAsia" w:ascii="宋体" w:hAnsi="宋体" w:cs="宋体"/>
          <w:szCs w:val="22"/>
        </w:rPr>
        <w:t>（四）电子化项目开标、解密、唱标、评标</w:t>
      </w:r>
    </w:p>
    <w:p>
      <w:pPr>
        <w:spacing w:line="360" w:lineRule="auto"/>
        <w:rPr>
          <w:rFonts w:ascii="宋体" w:hAnsi="宋体" w:cs="宋体"/>
          <w:szCs w:val="22"/>
        </w:rPr>
      </w:pPr>
      <w:r>
        <w:rPr>
          <w:rFonts w:hint="eastAsia" w:ascii="宋体" w:hAnsi="宋体" w:cs="宋体"/>
          <w:szCs w:val="22"/>
        </w:rPr>
        <w:t>1、电子化投标文件采用双重加密方式。开标时，首先由供应商使用CA证书，在规定时间内对其电子化投标文件进行首次解密，供应商解密完成后，再由中介服务机构使用CA证书对投标文件进行再次解密。</w:t>
      </w:r>
    </w:p>
    <w:p>
      <w:pPr>
        <w:spacing w:line="360" w:lineRule="auto"/>
        <w:rPr>
          <w:rFonts w:ascii="宋体" w:hAnsi="宋体" w:cs="宋体"/>
          <w:szCs w:val="22"/>
        </w:rPr>
      </w:pPr>
      <w:r>
        <w:rPr>
          <w:rFonts w:hint="eastAsia" w:ascii="宋体" w:hAnsi="宋体" w:cs="宋体"/>
          <w:szCs w:val="22"/>
        </w:rPr>
        <w:t>2、电子化投标文件解密异常的处理</w:t>
      </w:r>
    </w:p>
    <w:p>
      <w:pPr>
        <w:spacing w:line="360" w:lineRule="auto"/>
        <w:rPr>
          <w:rFonts w:ascii="宋体" w:hAnsi="宋体" w:cs="宋体"/>
          <w:szCs w:val="22"/>
        </w:rPr>
      </w:pPr>
      <w:r>
        <w:rPr>
          <w:rFonts w:hint="eastAsia" w:ascii="宋体" w:hAnsi="宋体" w:cs="宋体"/>
          <w:szCs w:val="22"/>
        </w:rPr>
        <w:t>如出现供应商的电子投标文件无法解密的情况，供应商应及时联系中介服务机构说明。投标文件解密异常，按以下步骤进行处理：</w:t>
      </w:r>
    </w:p>
    <w:p>
      <w:pPr>
        <w:spacing w:line="360" w:lineRule="auto"/>
        <w:rPr>
          <w:rFonts w:ascii="宋体" w:hAnsi="宋体" w:cs="宋体"/>
          <w:szCs w:val="22"/>
        </w:rPr>
      </w:pPr>
      <w:r>
        <w:rPr>
          <w:rFonts w:hint="eastAsia" w:ascii="宋体" w:hAnsi="宋体" w:cs="宋体"/>
          <w:szCs w:val="22"/>
        </w:rPr>
        <w:t>（1）首先由技术人员进行问题排查。</w:t>
      </w:r>
    </w:p>
    <w:p>
      <w:pPr>
        <w:spacing w:line="360" w:lineRule="auto"/>
        <w:rPr>
          <w:rFonts w:ascii="宋体" w:hAnsi="宋体" w:cs="宋体"/>
          <w:szCs w:val="22"/>
        </w:rPr>
      </w:pPr>
      <w:r>
        <w:rPr>
          <w:rFonts w:hint="eastAsia" w:ascii="宋体" w:hAnsi="宋体" w:cs="宋体"/>
          <w:szCs w:val="22"/>
        </w:rPr>
        <w:t>（2）经技术人员排查后，是供应商文件自身问题导致投标文件无法解密的，该投标文件将不予接收、解密和唱标，开标会议继续进行。</w:t>
      </w:r>
    </w:p>
    <w:p>
      <w:pPr>
        <w:spacing w:line="360" w:lineRule="auto"/>
        <w:rPr>
          <w:rFonts w:ascii="宋体" w:hAnsi="宋体" w:cs="宋体"/>
          <w:szCs w:val="22"/>
        </w:rPr>
      </w:pPr>
      <w:r>
        <w:rPr>
          <w:rFonts w:hint="eastAsia" w:ascii="宋体" w:hAnsi="宋体" w:cs="宋体"/>
          <w:szCs w:val="22"/>
        </w:rPr>
        <w:t>（3）经技术人员排查后，如果是电子化交易系统问题造成投标文件无法解密的，将由技术人员对问题进行处理。如短时间内问题无法解决的，将由中介服务机构向监督部门申请，经监督部门同意后，暂停开标会议，待问题解决后继续开标。</w:t>
      </w:r>
    </w:p>
    <w:p>
      <w:pPr>
        <w:spacing w:line="360" w:lineRule="auto"/>
        <w:rPr>
          <w:rFonts w:ascii="宋体" w:hAnsi="宋体" w:cs="宋体"/>
          <w:szCs w:val="22"/>
        </w:rPr>
      </w:pPr>
      <w:r>
        <w:rPr>
          <w:rFonts w:hint="eastAsia" w:ascii="宋体" w:hAnsi="宋体" w:cs="宋体"/>
          <w:szCs w:val="22"/>
        </w:rPr>
        <w:t>3、待所有供应商投标文件解密完成后，由中介服务机构操作，对所有已解密投标文件进行唱标。</w:t>
      </w:r>
    </w:p>
    <w:p>
      <w:pPr>
        <w:spacing w:line="360" w:lineRule="auto"/>
        <w:rPr>
          <w:rFonts w:ascii="宋体" w:hAnsi="宋体" w:cs="宋体"/>
          <w:szCs w:val="22"/>
        </w:rPr>
      </w:pPr>
      <w:r>
        <w:rPr>
          <w:rFonts w:hint="eastAsia" w:ascii="宋体" w:hAnsi="宋体" w:cs="宋体"/>
          <w:szCs w:val="22"/>
        </w:rPr>
        <w:t>4、评标时，评标委员会对电子化投标文件有质疑的，将通过电子化交易系统对供应商发起质疑。质疑回复内容确认后，供应商的回复文件必须以经过供应商和其法定代表人签章的PDF格式文件为准，并通过电子化交易系统提交至评标委员会。</w:t>
      </w:r>
    </w:p>
    <w:p>
      <w:pPr>
        <w:spacing w:line="360" w:lineRule="auto"/>
        <w:rPr>
          <w:rFonts w:ascii="宋体" w:hAnsi="宋体" w:cs="宋体"/>
          <w:szCs w:val="22"/>
        </w:rPr>
      </w:pPr>
      <w:r>
        <w:rPr>
          <w:rFonts w:hint="eastAsia" w:ascii="宋体" w:hAnsi="宋体" w:cs="宋体"/>
          <w:szCs w:val="22"/>
        </w:rPr>
        <w:t>5、如评标委员会对需要回复的供应商回复内容有异议的，经过几次回复仍不清楚的，需在监督下进行免提电话进行质疑。</w:t>
      </w:r>
    </w:p>
    <w:p>
      <w:pPr>
        <w:pStyle w:val="8"/>
        <w:spacing w:line="360" w:lineRule="auto"/>
        <w:ind w:left="98" w:leftChars="0" w:hanging="98" w:hangingChars="47"/>
      </w:pPr>
      <w:r>
        <w:rPr>
          <w:rFonts w:hint="eastAsia" w:ascii="宋体" w:hAnsi="宋体" w:cs="宋体"/>
          <w:szCs w:val="22"/>
        </w:rPr>
        <w:t>6、评标时如因系统异常、停电、电脑病毒、网络堵塞等原因无法正常进行的，由技术人员排查解决，短时间无法解决的，经监督部门同意后，暂停评标活动，待问题解决后继续评标。</w:t>
      </w:r>
    </w:p>
    <w:p>
      <w:pPr>
        <w:pStyle w:val="19"/>
        <w:spacing w:after="0" w:line="360" w:lineRule="auto"/>
        <w:ind w:firstLine="210"/>
      </w:pPr>
    </w:p>
    <w:sectPr>
      <w:headerReference r:id="rId5" w:type="default"/>
      <w:footerReference r:id="rId6" w:type="default"/>
      <w:pgSz w:w="11906" w:h="16838"/>
      <w:pgMar w:top="1440" w:right="1486"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ind w:right="360" w:firstLine="120" w:firstLineChars="50"/>
      <w:rPr>
        <w:sz w:val="15"/>
        <w:szCs w:val="15"/>
      </w:rPr>
    </w:pPr>
    <w:r>
      <mc:AlternateContent>
        <mc:Choice Requires="wps">
          <w:drawing>
            <wp:anchor distT="0" distB="0" distL="0" distR="0" simplePos="0" relativeHeight="251656192" behindDoc="0" locked="0" layoutInCell="1" allowOverlap="1">
              <wp:simplePos x="0" y="0"/>
              <wp:positionH relativeFrom="margin">
                <wp:posOffset>5280660</wp:posOffset>
              </wp:positionH>
              <wp:positionV relativeFrom="paragraph">
                <wp:posOffset>12065</wp:posOffset>
              </wp:positionV>
              <wp:extent cx="114935" cy="131445"/>
              <wp:effectExtent l="0" t="0" r="0" b="0"/>
              <wp:wrapNone/>
              <wp:docPr id="4097" name="文本框8"/>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12"/>
                            <w:rPr>
                              <w:rStyle w:val="23"/>
                            </w:rPr>
                          </w:pPr>
                        </w:p>
                      </w:txbxContent>
                    </wps:txbx>
                    <wps:bodyPr vert="horz" wrap="none" lIns="0" tIns="0" rIns="0" bIns="0" anchor="t" upright="1">
                      <a:spAutoFit/>
                    </wps:bodyPr>
                  </wps:wsp>
                </a:graphicData>
              </a:graphic>
            </wp:anchor>
          </w:drawing>
        </mc:Choice>
        <mc:Fallback>
          <w:pict>
            <v:rect id="文本框8" o:spid="_x0000_s1026" o:spt="1" style="position:absolute;left:0pt;margin-left:415.8pt;margin-top:0.95pt;height:10.35pt;width:9.05pt;mso-position-horizontal-relative:margin;mso-wrap-style:none;z-index:251656192;mso-width-relative:page;mso-height-relative:page;" filled="f" stroked="f" coordsize="21600,21600" o:gfxdata="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0fpfbWAAAACAEAAA8AAAAAAAAAAQAgAAAAIgAAAGRycy9kb3ducmV2LnhtbFBLAQIU&#10;ABQAAAAIAIdO4kDXcZ2XvAEAAE0DAAAOAAAAAAAAAAEAIAAAACUBAABkcnMvZTJvRG9jLnhtbFBL&#10;BQYAAAAABgAGAFkBAABTBQAAAAA=&#10;">
              <v:fill on="f" focussize="0,0"/>
              <v:stroke on="f"/>
              <v:imagedata o:title=""/>
              <o:lock v:ext="edit" aspectratio="f"/>
              <v:textbox inset="0mm,0mm,0mm,0mm" style="mso-fit-shape-to-text:t;">
                <w:txbxContent>
                  <w:p>
                    <w:pPr>
                      <w:pStyle w:val="12"/>
                      <w:rPr>
                        <w:rStyle w:val="23"/>
                      </w:rPr>
                    </w:pPr>
                  </w:p>
                </w:txbxContent>
              </v:textbox>
            </v:rect>
          </w:pict>
        </mc:Fallback>
      </mc:AlternateContent>
    </w:r>
    <w:r>
      <w:rPr>
        <w:sz w:val="15"/>
        <w:szCs w:val="1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ind w:right="360"/>
      <w:rPr>
        <w:sz w:val="15"/>
        <w:szCs w:val="15"/>
      </w:rPr>
    </w:pPr>
    <w:r>
      <w:rPr>
        <w:sz w:val="32"/>
        <w:szCs w:val="32"/>
      </w:rPr>
      <mc:AlternateContent>
        <mc:Choice Requires="wps">
          <w:drawing>
            <wp:anchor distT="0" distB="0" distL="0" distR="0" simplePos="0" relativeHeight="251658240" behindDoc="0" locked="0" layoutInCell="1" allowOverlap="1">
              <wp:simplePos x="0" y="0"/>
              <wp:positionH relativeFrom="column">
                <wp:posOffset>5715</wp:posOffset>
              </wp:positionH>
              <wp:positionV relativeFrom="paragraph">
                <wp:posOffset>-88900</wp:posOffset>
              </wp:positionV>
              <wp:extent cx="5457825" cy="9525"/>
              <wp:effectExtent l="0" t="28575" r="9525" b="38100"/>
              <wp:wrapNone/>
              <wp:docPr id="4099" name="Line 15"/>
              <wp:cNvGraphicFramePr/>
              <a:graphic xmlns:a="http://schemas.openxmlformats.org/drawingml/2006/main">
                <a:graphicData uri="http://schemas.microsoft.com/office/word/2010/wordprocessingShape">
                  <wps:wsp>
                    <wps:cNvCnPr/>
                    <wps:spPr>
                      <a:xfrm>
                        <a:off x="0" y="0"/>
                        <a:ext cx="5457825" cy="9525"/>
                      </a:xfrm>
                      <a:prstGeom prst="line">
                        <a:avLst/>
                      </a:prstGeom>
                      <a:ln w="57150" cap="flat" cmpd="thickThin">
                        <a:solidFill>
                          <a:srgbClr val="000000"/>
                        </a:solidFill>
                        <a:prstDash val="solid"/>
                        <a:round/>
                      </a:ln>
                    </wps:spPr>
                    <wps:bodyPr/>
                  </wps:wsp>
                </a:graphicData>
              </a:graphic>
            </wp:anchor>
          </w:drawing>
        </mc:Choice>
        <mc:Fallback>
          <w:pict>
            <v:line id="Line 15" o:spid="_x0000_s1026" o:spt="20" style="position:absolute;left:0pt;margin-left:0.45pt;margin-top:-7pt;height:0.75pt;width:429.75pt;z-index:251658240;mso-width-relative:page;mso-height-relative:page;" filled="f" stroked="t" coordsize="21600,21600" o:gfxdata="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Ysd99UAAAAIAQAADwAA&#10;AAAAAAABACAAAAAiAAAAZHJzL2Rvd25yZXYueG1sUEsBAhQAFAAAAAgAh07iQEoybKGnAQAAQwMA&#10;AA4AAAAAAAAAAQAgAAAAJAEAAGRycy9lMm9Eb2MueG1sUEsFBgAAAAAGAAYAWQEAAD0FAAAAAA==&#10;">
              <v:fill on="f" focussize="0,0"/>
              <v:stroke weight="4.5pt" color="#000000" linestyle="thickThin" joinstyle="round"/>
              <v:imagedata o:title=""/>
              <o:lock v:ext="edit" aspectratio="f"/>
            </v:line>
          </w:pict>
        </mc:Fallback>
      </mc:AlternateContent>
    </w:r>
    <w:r>
      <w:rPr>
        <w:sz w:val="32"/>
        <w:szCs w:val="32"/>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upGrgagBAAA5AwAADgAA&#10;AAAAAAABACAAAAAfAQAAZHJzL2Uyb0RvYy54bWxQSwUGAAAAAAYABgBZAQAAOQU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rect>
          </w:pict>
        </mc:Fallback>
      </mc:AlternateContent>
    </w:r>
    <w:r>
      <w:rPr>
        <w:sz w:val="32"/>
        <w:szCs w:val="32"/>
      </w:rPr>
      <mc:AlternateContent>
        <mc:Choice Requires="wps">
          <w:drawing>
            <wp:anchor distT="0" distB="0" distL="0" distR="0" simplePos="0" relativeHeight="251659264" behindDoc="0" locked="0" layoutInCell="1" allowOverlap="1">
              <wp:simplePos x="0" y="0"/>
              <wp:positionH relativeFrom="margin">
                <wp:posOffset>5280660</wp:posOffset>
              </wp:positionH>
              <wp:positionV relativeFrom="paragraph">
                <wp:posOffset>12065</wp:posOffset>
              </wp:positionV>
              <wp:extent cx="114935" cy="131445"/>
              <wp:effectExtent l="0" t="0" r="0" b="0"/>
              <wp:wrapNone/>
              <wp:docPr id="4100" name="文本框8"/>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12"/>
                            <w:rPr>
                              <w:rStyle w:val="23"/>
                            </w:rPr>
                          </w:pPr>
                        </w:p>
                      </w:txbxContent>
                    </wps:txbx>
                    <wps:bodyPr vert="horz" wrap="none" lIns="0" tIns="0" rIns="0" bIns="0" anchor="t" upright="1">
                      <a:spAutoFit/>
                    </wps:bodyPr>
                  </wps:wsp>
                </a:graphicData>
              </a:graphic>
            </wp:anchor>
          </w:drawing>
        </mc:Choice>
        <mc:Fallback>
          <w:pict>
            <v:rect id="文本框8" o:spid="_x0000_s1026" o:spt="1" style="position:absolute;left:0pt;margin-left:415.8pt;margin-top:0.95pt;height:10.35pt;width:9.05pt;mso-position-horizontal-relative:margin;mso-wrap-style:none;z-index:251659264;mso-width-relative:page;mso-height-relative:page;" filled="f" stroked="f" coordsize="21600,21600" o:gfxdata="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R+l9tYAAAAIAQAADwAAAAAAAAABACAAAAAiAAAAZHJzL2Rvd25yZXYueG1sUEsBAhQA&#10;FAAAAAgAh07iQHwIjX27AQAATQMAAA4AAAAAAAAAAQAgAAAAJQEAAGRycy9lMm9Eb2MueG1sUEsF&#10;BgAAAAAGAAYAWQEAAFIFAAAAAA==&#10;">
              <v:fill on="f" focussize="0,0"/>
              <v:stroke on="f"/>
              <v:imagedata o:title=""/>
              <o:lock v:ext="edit" aspectratio="f"/>
              <v:textbox inset="0mm,0mm,0mm,0mm" style="mso-fit-shape-to-text:t;">
                <w:txbxContent>
                  <w:p>
                    <w:pPr>
                      <w:pStyle w:val="12"/>
                      <w:rPr>
                        <w:rStyle w:val="23"/>
                      </w:rPr>
                    </w:pPr>
                  </w:p>
                </w:txbxContent>
              </v:textbox>
            </v:rect>
          </w:pict>
        </mc:Fallback>
      </mc:AlternateContent>
    </w:r>
    <w:r>
      <w:rPr>
        <w:rFonts w:hint="eastAsia" w:hAnsi="仿宋_GB2312"/>
        <w:sz w:val="18"/>
        <w:szCs w:val="18"/>
      </w:rPr>
      <w:t>中和中基工程管理有限公司</w:t>
    </w:r>
    <w:r>
      <w:rPr>
        <w:sz w:val="15"/>
        <w:szCs w:val="1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thinThickMediumGap" w:color="auto" w:sz="18" w:space="0"/>
      </w:pBdr>
      <w:shd w:val="clear" w:color="auto" w:fill="FFFFFF"/>
      <w:spacing w:line="420" w:lineRule="atLeast"/>
      <w:jc w:val="left"/>
      <w:rPr>
        <w:rFonts w:ascii="宋体" w:cs="宋体"/>
        <w:sz w:val="18"/>
        <w:szCs w:val="18"/>
      </w:rPr>
    </w:pPr>
    <w:r>
      <w:rPr>
        <w:rFonts w:hint="eastAsia" w:ascii="宋体" w:hAnsi="宋体" w:cs="宋体"/>
        <w:color w:val="000000"/>
        <w:kern w:val="0"/>
        <w:sz w:val="18"/>
        <w:szCs w:val="18"/>
        <w:shd w:val="clear" w:color="auto" w:fill="FFFFFF"/>
        <w:lang w:eastAsia="zh-CN"/>
      </w:rPr>
      <w:t>河南质量工程职业学院</w:t>
    </w:r>
    <w:r>
      <w:rPr>
        <w:rFonts w:hint="eastAsia" w:ascii="宋体" w:hAnsi="宋体" w:cs="宋体"/>
        <w:color w:val="000000"/>
        <w:kern w:val="0"/>
        <w:sz w:val="18"/>
        <w:szCs w:val="18"/>
        <w:shd w:val="clear" w:color="auto" w:fill="FFFFFF"/>
      </w:rPr>
      <w:t>建筑材料检测技术生产性实训基地设备采购项目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thinThickMediumGap" w:color="auto" w:sz="18" w:space="0"/>
      </w:pBdr>
      <w:shd w:val="clear" w:color="auto" w:fill="FFFFFF"/>
      <w:spacing w:line="420" w:lineRule="atLeast"/>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lang w:eastAsia="zh-CN"/>
      </w:rPr>
      <w:t>河南质量工程职业学院</w:t>
    </w:r>
    <w:r>
      <w:rPr>
        <w:rFonts w:hint="eastAsia" w:ascii="宋体" w:hAnsi="宋体" w:cs="宋体"/>
        <w:color w:val="000000"/>
        <w:kern w:val="0"/>
        <w:sz w:val="18"/>
        <w:szCs w:val="18"/>
        <w:shd w:val="clear" w:color="auto" w:fill="FFFFFF"/>
      </w:rPr>
      <w:t>建筑材料检测技术生产性实训基地设备采购项目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suff w:val="nothing"/>
      <w:lvlText w:val="%1、"/>
      <w:lvlJc w:val="left"/>
    </w:lvl>
    <w:lvl w:ilvl="1" w:tentative="0">
      <w:start w:val="1"/>
      <w:numFmt w:val="decimal"/>
      <w:isLgl/>
      <w:lvlText w:val="%1.%2"/>
      <w:lvlJc w:val="left"/>
      <w:pPr>
        <w:ind w:left="1200" w:hanging="360"/>
      </w:pPr>
      <w:rPr>
        <w:rFonts w:hint="default" w:ascii="Arial" w:hAnsi="Arial" w:cs="Arial"/>
        <w:sz w:val="21"/>
        <w:szCs w:val="21"/>
      </w:rPr>
    </w:lvl>
    <w:lvl w:ilvl="2" w:tentative="0">
      <w:start w:val="1"/>
      <w:numFmt w:val="decimal"/>
      <w:isLgl/>
      <w:lvlText w:val="%1.%2.%3"/>
      <w:lvlJc w:val="left"/>
      <w:pPr>
        <w:ind w:left="1920" w:hanging="720"/>
      </w:pPr>
      <w:rPr>
        <w:rFonts w:hint="default" w:ascii="Arial" w:hAnsi="Arial" w:cs="Arial"/>
        <w:sz w:val="21"/>
        <w:szCs w:val="21"/>
      </w:rPr>
    </w:lvl>
    <w:lvl w:ilvl="3" w:tentative="0">
      <w:start w:val="1"/>
      <w:numFmt w:val="decimal"/>
      <w:isLgl/>
      <w:lvlText w:val="%1.%2.%3.%4"/>
      <w:lvlJc w:val="left"/>
      <w:pPr>
        <w:ind w:left="2640" w:hanging="1080"/>
      </w:pPr>
      <w:rPr>
        <w:rFonts w:hint="default"/>
      </w:rPr>
    </w:lvl>
    <w:lvl w:ilvl="4" w:tentative="0">
      <w:start w:val="1"/>
      <w:numFmt w:val="decimal"/>
      <w:isLgl/>
      <w:lvlText w:val="%1.%2.%3.%4.%5"/>
      <w:lvlJc w:val="left"/>
      <w:pPr>
        <w:ind w:left="3000" w:hanging="1080"/>
      </w:pPr>
      <w:rPr>
        <w:rFonts w:hint="default" w:ascii="Arial" w:hAnsi="Arial" w:cs="Arial"/>
        <w:sz w:val="21"/>
        <w:szCs w:val="21"/>
      </w:rPr>
    </w:lvl>
    <w:lvl w:ilvl="5" w:tentative="0">
      <w:start w:val="1"/>
      <w:numFmt w:val="decimal"/>
      <w:isLgl/>
      <w:lvlText w:val="%1.%2.%3.%4.%5.%6"/>
      <w:lvlJc w:val="left"/>
      <w:pPr>
        <w:ind w:left="3720" w:hanging="1440"/>
      </w:pPr>
      <w:rPr>
        <w:rFonts w:hint="default"/>
      </w:rPr>
    </w:lvl>
    <w:lvl w:ilvl="6" w:tentative="0">
      <w:start w:val="1"/>
      <w:numFmt w:val="decimal"/>
      <w:isLgl/>
      <w:lvlText w:val="%1.%2.%3.%4.%5.%6.%7"/>
      <w:lvlJc w:val="left"/>
      <w:pPr>
        <w:ind w:left="4440" w:hanging="1800"/>
      </w:pPr>
      <w:rPr>
        <w:rFonts w:hint="default"/>
      </w:rPr>
    </w:lvl>
    <w:lvl w:ilvl="7" w:tentative="0">
      <w:start w:val="1"/>
      <w:numFmt w:val="decimal"/>
      <w:isLgl/>
      <w:lvlText w:val="%1.%2.%3.%4.%5.%6.%7.%8"/>
      <w:lvlJc w:val="left"/>
      <w:pPr>
        <w:ind w:left="4800" w:hanging="1800"/>
      </w:pPr>
      <w:rPr>
        <w:rFonts w:hint="default"/>
      </w:rPr>
    </w:lvl>
    <w:lvl w:ilvl="8" w:tentative="0">
      <w:start w:val="1"/>
      <w:numFmt w:val="decimal"/>
      <w:isLgl/>
      <w:lvlText w:val="%1.%2.%3.%4.%5.%6.%7.%8.%9"/>
      <w:lvlJc w:val="left"/>
      <w:pPr>
        <w:ind w:left="5520" w:hanging="2160"/>
      </w:pPr>
      <w:rPr>
        <w:rFonts w:hint="default"/>
      </w:rPr>
    </w:lvl>
  </w:abstractNum>
  <w:abstractNum w:abstractNumId="1">
    <w:nsid w:val="00000002"/>
    <w:multiLevelType w:val="multilevel"/>
    <w:tmpl w:val="00000002"/>
    <w:lvl w:ilvl="0" w:tentative="0">
      <w:start w:val="1"/>
      <w:numFmt w:val="chineseCounting"/>
      <w:suff w:val="space"/>
      <w:lvlText w:val="第%1章"/>
      <w:lvlJc w:val="left"/>
      <w:rPr>
        <w:rFonts w:cs="Times New Roman"/>
        <w:sz w:val="36"/>
        <w:szCs w:val="3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2"/>
      <w:numFmt w:val="decimal"/>
      <w:suff w:val="nothing"/>
      <w:lvlText w:val="%1."/>
      <w:lvlJc w:val="left"/>
      <w:rPr>
        <w:rFonts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0000004"/>
    <w:multiLevelType w:val="multilevel"/>
    <w:tmpl w:val="00000004"/>
    <w:lvl w:ilvl="0" w:tentative="0">
      <w:start w:val="4"/>
      <w:numFmt w:val="chineseCounting"/>
      <w:suff w:val="nothing"/>
      <w:lvlText w:val="%1．"/>
      <w:lvlJc w:val="left"/>
      <w:rPr>
        <w:rFonts w:cs="Times New Roman"/>
      </w:rPr>
    </w:lvl>
    <w:lvl w:ilvl="1" w:tentative="0">
      <w:start w:val="1"/>
      <w:numFmt w:val="decimal"/>
      <w:isLgl/>
      <w:lvlText w:val="%1.%2"/>
      <w:lvlJc w:val="left"/>
      <w:pPr>
        <w:ind w:left="1211" w:hanging="360"/>
      </w:pPr>
      <w:rPr>
        <w:rFonts w:hint="default" w:ascii="Arial" w:hAnsi="Arial" w:cs="Arial"/>
        <w:sz w:val="21"/>
        <w:szCs w:val="21"/>
      </w:rPr>
    </w:lvl>
    <w:lvl w:ilvl="2" w:tentative="0">
      <w:start w:val="1"/>
      <w:numFmt w:val="decimal"/>
      <w:isLgl/>
      <w:lvlText w:val="%1.%2.%3"/>
      <w:lvlJc w:val="left"/>
      <w:pPr>
        <w:ind w:left="1996" w:hanging="720"/>
      </w:pPr>
      <w:rPr>
        <w:rFonts w:hint="default"/>
      </w:rPr>
    </w:lvl>
    <w:lvl w:ilvl="3" w:tentative="0">
      <w:start w:val="1"/>
      <w:numFmt w:val="decimal"/>
      <w:isLgl/>
      <w:lvlText w:val="%1.%2.%3.%4"/>
      <w:lvlJc w:val="left"/>
      <w:pPr>
        <w:ind w:left="2421" w:hanging="720"/>
      </w:pPr>
      <w:rPr>
        <w:rFonts w:hint="default"/>
      </w:rPr>
    </w:lvl>
    <w:lvl w:ilvl="4" w:tentative="0">
      <w:start w:val="1"/>
      <w:numFmt w:val="decimal"/>
      <w:isLgl/>
      <w:lvlText w:val="%1.%2.%3.%4.%5"/>
      <w:lvlJc w:val="left"/>
      <w:pPr>
        <w:ind w:left="3206" w:hanging="1080"/>
      </w:pPr>
      <w:rPr>
        <w:rFonts w:hint="default"/>
      </w:rPr>
    </w:lvl>
    <w:lvl w:ilvl="5" w:tentative="0">
      <w:start w:val="1"/>
      <w:numFmt w:val="decimal"/>
      <w:isLgl/>
      <w:lvlText w:val="%1.%2.%3.%4.%5.%6"/>
      <w:lvlJc w:val="left"/>
      <w:pPr>
        <w:ind w:left="3631" w:hanging="1080"/>
      </w:pPr>
      <w:rPr>
        <w:rFonts w:hint="default"/>
      </w:rPr>
    </w:lvl>
    <w:lvl w:ilvl="6" w:tentative="0">
      <w:start w:val="1"/>
      <w:numFmt w:val="decimal"/>
      <w:isLgl/>
      <w:lvlText w:val="%1.%2.%3.%4.%5.%6.%7"/>
      <w:lvlJc w:val="left"/>
      <w:pPr>
        <w:ind w:left="4056" w:hanging="1080"/>
      </w:pPr>
      <w:rPr>
        <w:rFonts w:hint="default"/>
      </w:rPr>
    </w:lvl>
    <w:lvl w:ilvl="7" w:tentative="0">
      <w:start w:val="1"/>
      <w:numFmt w:val="decimal"/>
      <w:isLgl/>
      <w:lvlText w:val="%1.%2.%3.%4.%5.%6.%7.%8"/>
      <w:lvlJc w:val="left"/>
      <w:pPr>
        <w:ind w:left="4841" w:hanging="1440"/>
      </w:pPr>
      <w:rPr>
        <w:rFonts w:hint="default"/>
      </w:rPr>
    </w:lvl>
    <w:lvl w:ilvl="8" w:tentative="0">
      <w:start w:val="1"/>
      <w:numFmt w:val="decimal"/>
      <w:isLgl/>
      <w:lvlText w:val="%1.%2.%3.%4.%5.%6.%7.%8.%9"/>
      <w:lvlJc w:val="left"/>
      <w:pPr>
        <w:ind w:left="5266" w:hanging="1440"/>
      </w:pPr>
      <w:rPr>
        <w:rFonts w:hint="default"/>
      </w:rPr>
    </w:lvl>
  </w:abstractNum>
  <w:abstractNum w:abstractNumId="4">
    <w:nsid w:val="00000005"/>
    <w:multiLevelType w:val="multilevel"/>
    <w:tmpl w:val="000000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8"/>
    <w:multiLevelType w:val="singleLevel"/>
    <w:tmpl w:val="00000008"/>
    <w:lvl w:ilvl="0" w:tentative="0">
      <w:start w:val="3"/>
      <w:numFmt w:val="chineseCounting"/>
      <w:suff w:val="nothing"/>
      <w:lvlText w:val="%1．"/>
      <w:lvlJc w:val="left"/>
      <w:rPr>
        <w:rFonts w:cs="Times New Roman"/>
      </w:rPr>
    </w:lvl>
  </w:abstractNum>
  <w:abstractNum w:abstractNumId="6">
    <w:nsid w:val="0000000A"/>
    <w:multiLevelType w:val="singleLevel"/>
    <w:tmpl w:val="0000000A"/>
    <w:lvl w:ilvl="0" w:tentative="0">
      <w:start w:val="35"/>
      <w:numFmt w:val="decimal"/>
      <w:suff w:val="nothing"/>
      <w:lvlText w:val="%1、"/>
      <w:lvlJc w:val="left"/>
      <w:rPr>
        <w:rFonts w:cs="Times New Roman"/>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1A"/>
    <w:rsid w:val="00165ADE"/>
    <w:rsid w:val="001849F1"/>
    <w:rsid w:val="00240B29"/>
    <w:rsid w:val="0029421A"/>
    <w:rsid w:val="00342B3B"/>
    <w:rsid w:val="004643B6"/>
    <w:rsid w:val="005E3398"/>
    <w:rsid w:val="00664162"/>
    <w:rsid w:val="006A228C"/>
    <w:rsid w:val="00737051"/>
    <w:rsid w:val="00747B03"/>
    <w:rsid w:val="007824CD"/>
    <w:rsid w:val="008202EC"/>
    <w:rsid w:val="00825F19"/>
    <w:rsid w:val="00862DDD"/>
    <w:rsid w:val="0089707D"/>
    <w:rsid w:val="008C426B"/>
    <w:rsid w:val="008E51B1"/>
    <w:rsid w:val="009836A1"/>
    <w:rsid w:val="00983770"/>
    <w:rsid w:val="00B35546"/>
    <w:rsid w:val="00B918AC"/>
    <w:rsid w:val="00BC1139"/>
    <w:rsid w:val="00BE2A81"/>
    <w:rsid w:val="00D95415"/>
    <w:rsid w:val="00DD1FC1"/>
    <w:rsid w:val="00DE2E00"/>
    <w:rsid w:val="00E1274D"/>
    <w:rsid w:val="00E62729"/>
    <w:rsid w:val="00F06E67"/>
    <w:rsid w:val="00F71C3B"/>
    <w:rsid w:val="00F83356"/>
    <w:rsid w:val="016E373E"/>
    <w:rsid w:val="04A03CE3"/>
    <w:rsid w:val="07AE65FE"/>
    <w:rsid w:val="0BC270CD"/>
    <w:rsid w:val="0BEE43D2"/>
    <w:rsid w:val="0C232843"/>
    <w:rsid w:val="0D437E2D"/>
    <w:rsid w:val="0E0C1C0E"/>
    <w:rsid w:val="0E946F7B"/>
    <w:rsid w:val="14042BC3"/>
    <w:rsid w:val="143656DF"/>
    <w:rsid w:val="1BC54FA3"/>
    <w:rsid w:val="25A52B83"/>
    <w:rsid w:val="268E4959"/>
    <w:rsid w:val="29C840BD"/>
    <w:rsid w:val="2AB838DB"/>
    <w:rsid w:val="2C436E02"/>
    <w:rsid w:val="2DA21D24"/>
    <w:rsid w:val="2E9E775A"/>
    <w:rsid w:val="2F343D41"/>
    <w:rsid w:val="300C3D30"/>
    <w:rsid w:val="325A7FEB"/>
    <w:rsid w:val="331301DB"/>
    <w:rsid w:val="351C71E5"/>
    <w:rsid w:val="369016F7"/>
    <w:rsid w:val="370F393C"/>
    <w:rsid w:val="386C43AF"/>
    <w:rsid w:val="3DF44BDE"/>
    <w:rsid w:val="3F0569ED"/>
    <w:rsid w:val="406F5857"/>
    <w:rsid w:val="43E57A3A"/>
    <w:rsid w:val="440E4396"/>
    <w:rsid w:val="47936BCC"/>
    <w:rsid w:val="4C934B86"/>
    <w:rsid w:val="4D0F0B79"/>
    <w:rsid w:val="4E482F5B"/>
    <w:rsid w:val="4FAC40EF"/>
    <w:rsid w:val="4FFC342E"/>
    <w:rsid w:val="51F86371"/>
    <w:rsid w:val="51F95EAF"/>
    <w:rsid w:val="529B505C"/>
    <w:rsid w:val="52DD597D"/>
    <w:rsid w:val="531E7B7B"/>
    <w:rsid w:val="56A40A30"/>
    <w:rsid w:val="58B2466A"/>
    <w:rsid w:val="5A805513"/>
    <w:rsid w:val="5BD95DA9"/>
    <w:rsid w:val="5C8778E9"/>
    <w:rsid w:val="5D26781F"/>
    <w:rsid w:val="5D4C626C"/>
    <w:rsid w:val="5F1353D5"/>
    <w:rsid w:val="61475BE3"/>
    <w:rsid w:val="63647013"/>
    <w:rsid w:val="675C0699"/>
    <w:rsid w:val="6A7A5683"/>
    <w:rsid w:val="6AFA42DF"/>
    <w:rsid w:val="6E3F6299"/>
    <w:rsid w:val="6F4C25C4"/>
    <w:rsid w:val="6F6944A5"/>
    <w:rsid w:val="72F56A48"/>
    <w:rsid w:val="744562F6"/>
    <w:rsid w:val="75C0393E"/>
    <w:rsid w:val="763F7315"/>
    <w:rsid w:val="7B422F95"/>
    <w:rsid w:val="7B6C00DA"/>
    <w:rsid w:val="7C477D05"/>
    <w:rsid w:val="7E347C1F"/>
    <w:rsid w:val="7EEF6EE2"/>
    <w:rsid w:val="7F1E48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9"/>
    <w:pPr>
      <w:keepNext/>
      <w:keepLines/>
      <w:spacing w:line="578" w:lineRule="auto"/>
      <w:outlineLvl w:val="0"/>
    </w:pPr>
    <w:rPr>
      <w:b/>
      <w:bCs/>
      <w:kern w:val="44"/>
      <w:sz w:val="44"/>
      <w:szCs w:val="44"/>
    </w:rPr>
  </w:style>
  <w:style w:type="paragraph" w:styleId="4">
    <w:name w:val="heading 2"/>
    <w:basedOn w:val="1"/>
    <w:next w:val="1"/>
    <w:link w:val="28"/>
    <w:qFormat/>
    <w:uiPriority w:val="99"/>
    <w:pPr>
      <w:keepNext/>
      <w:keepLines/>
      <w:spacing w:line="416" w:lineRule="auto"/>
      <w:outlineLvl w:val="1"/>
    </w:pPr>
    <w:rPr>
      <w:rFonts w:ascii="Arial" w:hAnsi="Arial" w:eastAsia="黑体"/>
      <w:b/>
      <w:kern w:val="0"/>
      <w:sz w:val="32"/>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格式"/>
    <w:qFormat/>
    <w:uiPriority w:val="99"/>
    <w:pPr>
      <w:spacing w:line="360" w:lineRule="auto"/>
      <w:ind w:firstLine="200" w:firstLineChars="200"/>
    </w:pPr>
    <w:rPr>
      <w:rFonts w:ascii="宋体" w:hAnsi="宋体" w:eastAsia="宋体" w:cs="Times New Roman"/>
      <w:kern w:val="2"/>
      <w:sz w:val="28"/>
      <w:szCs w:val="22"/>
      <w:lang w:val="en-US" w:eastAsia="zh-CN" w:bidi="ar-SA"/>
    </w:rPr>
  </w:style>
  <w:style w:type="paragraph" w:styleId="5">
    <w:name w:val="Normal Indent"/>
    <w:basedOn w:val="1"/>
    <w:qFormat/>
    <w:uiPriority w:val="99"/>
    <w:pPr>
      <w:ind w:left="480"/>
    </w:pPr>
  </w:style>
  <w:style w:type="paragraph" w:styleId="6">
    <w:name w:val="annotation text"/>
    <w:basedOn w:val="1"/>
    <w:link w:val="46"/>
    <w:qFormat/>
    <w:uiPriority w:val="99"/>
    <w:pPr>
      <w:jc w:val="left"/>
    </w:pPr>
  </w:style>
  <w:style w:type="paragraph" w:styleId="7">
    <w:name w:val="Body Text"/>
    <w:basedOn w:val="1"/>
    <w:link w:val="32"/>
    <w:qFormat/>
    <w:uiPriority w:val="99"/>
    <w:pPr>
      <w:spacing w:line="360" w:lineRule="auto"/>
    </w:pPr>
    <w:rPr>
      <w:rFonts w:ascii="楷体_GB2312" w:hAnsi="宋体" w:eastAsia="楷体_GB2312"/>
      <w:sz w:val="28"/>
      <w:szCs w:val="28"/>
    </w:rPr>
  </w:style>
  <w:style w:type="paragraph" w:styleId="8">
    <w:name w:val="List 2"/>
    <w:basedOn w:val="1"/>
    <w:qFormat/>
    <w:uiPriority w:val="99"/>
    <w:pPr>
      <w:ind w:left="100" w:leftChars="200" w:hanging="200" w:hangingChars="200"/>
      <w:contextualSpacing/>
    </w:pPr>
  </w:style>
  <w:style w:type="paragraph" w:styleId="9">
    <w:name w:val="Plain Text"/>
    <w:basedOn w:val="1"/>
    <w:link w:val="34"/>
    <w:qFormat/>
    <w:uiPriority w:val="99"/>
    <w:rPr>
      <w:rFonts w:ascii="宋体" w:hAnsi="Courier New"/>
      <w:sz w:val="24"/>
    </w:rPr>
  </w:style>
  <w:style w:type="paragraph" w:styleId="10">
    <w:name w:val="Date"/>
    <w:basedOn w:val="1"/>
    <w:next w:val="1"/>
    <w:link w:val="35"/>
    <w:qFormat/>
    <w:uiPriority w:val="99"/>
    <w:rPr>
      <w:rFonts w:eastAsia="楷体_GB2312"/>
      <w:sz w:val="24"/>
    </w:rPr>
  </w:style>
  <w:style w:type="paragraph" w:styleId="11">
    <w:name w:val="Balloon Text"/>
    <w:basedOn w:val="1"/>
    <w:link w:val="36"/>
    <w:qFormat/>
    <w:uiPriority w:val="99"/>
    <w:rPr>
      <w:sz w:val="18"/>
      <w:szCs w:val="18"/>
    </w:rPr>
  </w:style>
  <w:style w:type="paragraph" w:styleId="12">
    <w:name w:val="footer"/>
    <w:basedOn w:val="1"/>
    <w:link w:val="37"/>
    <w:qFormat/>
    <w:uiPriority w:val="99"/>
    <w:pPr>
      <w:tabs>
        <w:tab w:val="center" w:pos="4153"/>
        <w:tab w:val="right" w:pos="8306"/>
      </w:tabs>
      <w:snapToGrid w:val="0"/>
      <w:jc w:val="left"/>
    </w:pPr>
    <w:rPr>
      <w:sz w:val="24"/>
    </w:rPr>
  </w:style>
  <w:style w:type="paragraph" w:styleId="13">
    <w:name w:val="header"/>
    <w:basedOn w:val="1"/>
    <w:link w:val="3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24"/>
    </w:rPr>
  </w:style>
  <w:style w:type="paragraph" w:styleId="14">
    <w:name w:val="toc 1"/>
    <w:basedOn w:val="1"/>
    <w:next w:val="1"/>
    <w:qFormat/>
    <w:uiPriority w:val="99"/>
    <w:pPr>
      <w:tabs>
        <w:tab w:val="right" w:leader="dot" w:pos="9288"/>
      </w:tabs>
      <w:spacing w:line="600" w:lineRule="exact"/>
      <w:jc w:val="left"/>
    </w:pPr>
    <w:rPr>
      <w:b/>
      <w:bCs/>
      <w:caps/>
      <w:sz w:val="20"/>
    </w:rPr>
  </w:style>
  <w:style w:type="paragraph" w:styleId="15">
    <w:name w:val="toc 2"/>
    <w:basedOn w:val="1"/>
    <w:next w:val="1"/>
    <w:qFormat/>
    <w:uiPriority w:val="0"/>
    <w:pPr>
      <w:ind w:left="420" w:leftChars="200"/>
    </w:pPr>
  </w:style>
  <w:style w:type="paragraph" w:styleId="16">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qFormat/>
    <w:uiPriority w:val="99"/>
    <w:pPr>
      <w:widowControl/>
      <w:spacing w:beforeAutospacing="1" w:afterAutospacing="1"/>
      <w:jc w:val="left"/>
    </w:pPr>
    <w:rPr>
      <w:rFonts w:ascii="Arial Unicode MS" w:hAnsi="Arial Unicode MS" w:cs="Arial Unicode MS"/>
      <w:kern w:val="0"/>
      <w:sz w:val="24"/>
    </w:rPr>
  </w:style>
  <w:style w:type="paragraph" w:styleId="18">
    <w:name w:val="annotation subject"/>
    <w:basedOn w:val="6"/>
    <w:next w:val="6"/>
    <w:link w:val="47"/>
    <w:qFormat/>
    <w:uiPriority w:val="99"/>
    <w:rPr>
      <w:b/>
      <w:bCs/>
    </w:rPr>
  </w:style>
  <w:style w:type="paragraph" w:styleId="19">
    <w:name w:val="Body Text First Indent"/>
    <w:basedOn w:val="7"/>
    <w:link w:val="33"/>
    <w:qFormat/>
    <w:uiPriority w:val="99"/>
    <w:pPr>
      <w:spacing w:after="120" w:line="240" w:lineRule="auto"/>
      <w:ind w:firstLine="420" w:firstLineChars="100"/>
    </w:pPr>
    <w:rPr>
      <w:rFonts w:ascii="Times New Roman" w:hAnsi="Times New Roman" w:eastAsia="宋体"/>
      <w:sz w:val="21"/>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99"/>
    <w:rPr>
      <w:rFonts w:cs="Times New Roman"/>
    </w:rPr>
  </w:style>
  <w:style w:type="character" w:styleId="24">
    <w:name w:val="FollowedHyperlink"/>
    <w:basedOn w:val="22"/>
    <w:qFormat/>
    <w:uiPriority w:val="99"/>
    <w:rPr>
      <w:rFonts w:cs="Times New Roman"/>
      <w:color w:val="000000"/>
      <w:u w:val="none"/>
    </w:rPr>
  </w:style>
  <w:style w:type="character" w:styleId="25">
    <w:name w:val="Emphasis"/>
    <w:basedOn w:val="22"/>
    <w:qFormat/>
    <w:uiPriority w:val="0"/>
  </w:style>
  <w:style w:type="character" w:styleId="26">
    <w:name w:val="Hyperlink"/>
    <w:basedOn w:val="22"/>
    <w:qFormat/>
    <w:uiPriority w:val="99"/>
    <w:rPr>
      <w:rFonts w:cs="Times New Roman"/>
      <w:color w:val="0000FF"/>
      <w:u w:val="single"/>
    </w:rPr>
  </w:style>
  <w:style w:type="character" w:styleId="27">
    <w:name w:val="annotation reference"/>
    <w:basedOn w:val="22"/>
    <w:qFormat/>
    <w:uiPriority w:val="99"/>
    <w:rPr>
      <w:rFonts w:cs="Times New Roman"/>
      <w:sz w:val="21"/>
      <w:szCs w:val="21"/>
    </w:rPr>
  </w:style>
  <w:style w:type="character" w:customStyle="1" w:styleId="28">
    <w:name w:val="标题 2 字符"/>
    <w:basedOn w:val="22"/>
    <w:link w:val="4"/>
    <w:qFormat/>
    <w:uiPriority w:val="99"/>
    <w:rPr>
      <w:rFonts w:ascii="Arial" w:hAnsi="Arial" w:eastAsia="黑体"/>
      <w:b/>
      <w:sz w:val="32"/>
    </w:rPr>
  </w:style>
  <w:style w:type="character" w:customStyle="1" w:styleId="29">
    <w:name w:val="标题 1 字符"/>
    <w:basedOn w:val="22"/>
    <w:link w:val="3"/>
    <w:qFormat/>
    <w:uiPriority w:val="99"/>
    <w:rPr>
      <w:rFonts w:eastAsia="宋体"/>
      <w:b/>
      <w:kern w:val="44"/>
      <w:sz w:val="44"/>
      <w:lang w:val="en-US" w:eastAsia="zh-CN"/>
    </w:rPr>
  </w:style>
  <w:style w:type="paragraph" w:customStyle="1" w:styleId="30">
    <w:name w:val="样式 标题 2 + Times New Roman 四号 非加粗 段前: 5 磅 段后: 0 磅 行距: 固定值 20..."/>
    <w:basedOn w:val="4"/>
    <w:qFormat/>
    <w:uiPriority w:val="99"/>
    <w:pPr>
      <w:spacing w:before="100" w:line="400" w:lineRule="exact"/>
    </w:pPr>
    <w:rPr>
      <w:rFonts w:ascii="Times New Roman" w:hAnsi="Times New Roman" w:cs="宋体"/>
    </w:rPr>
  </w:style>
  <w:style w:type="paragraph" w:customStyle="1" w:styleId="31">
    <w:name w:val="_Style 23"/>
    <w:basedOn w:val="1"/>
    <w:qFormat/>
    <w:uiPriority w:val="99"/>
    <w:pPr>
      <w:adjustRightInd w:val="0"/>
      <w:spacing w:line="360" w:lineRule="atLeast"/>
      <w:jc w:val="left"/>
    </w:pPr>
  </w:style>
  <w:style w:type="character" w:customStyle="1" w:styleId="32">
    <w:name w:val="正文文本 字符"/>
    <w:basedOn w:val="22"/>
    <w:link w:val="7"/>
    <w:qFormat/>
    <w:uiPriority w:val="99"/>
    <w:rPr>
      <w:szCs w:val="24"/>
    </w:rPr>
  </w:style>
  <w:style w:type="character" w:customStyle="1" w:styleId="33">
    <w:name w:val="正文文本首行缩进 字符"/>
    <w:basedOn w:val="32"/>
    <w:link w:val="19"/>
    <w:qFormat/>
    <w:uiPriority w:val="99"/>
    <w:rPr>
      <w:szCs w:val="24"/>
    </w:rPr>
  </w:style>
  <w:style w:type="character" w:customStyle="1" w:styleId="34">
    <w:name w:val="纯文本 字符"/>
    <w:basedOn w:val="22"/>
    <w:link w:val="9"/>
    <w:qFormat/>
    <w:uiPriority w:val="99"/>
    <w:rPr>
      <w:rFonts w:ascii="宋体" w:hAnsi="Courier New" w:eastAsia="宋体"/>
      <w:kern w:val="2"/>
      <w:sz w:val="24"/>
      <w:lang w:val="en-US" w:eastAsia="zh-CN"/>
    </w:rPr>
  </w:style>
  <w:style w:type="character" w:customStyle="1" w:styleId="35">
    <w:name w:val="日期 字符"/>
    <w:basedOn w:val="22"/>
    <w:link w:val="10"/>
    <w:qFormat/>
    <w:uiPriority w:val="99"/>
    <w:rPr>
      <w:rFonts w:eastAsia="楷体_GB2312"/>
      <w:kern w:val="2"/>
      <w:sz w:val="24"/>
      <w:lang w:val="en-US" w:eastAsia="zh-CN"/>
    </w:rPr>
  </w:style>
  <w:style w:type="character" w:customStyle="1" w:styleId="36">
    <w:name w:val="批注框文本 字符"/>
    <w:basedOn w:val="22"/>
    <w:link w:val="11"/>
    <w:qFormat/>
    <w:uiPriority w:val="99"/>
    <w:rPr>
      <w:rFonts w:cs="Times New Roman"/>
      <w:kern w:val="2"/>
      <w:sz w:val="18"/>
      <w:szCs w:val="18"/>
    </w:rPr>
  </w:style>
  <w:style w:type="character" w:customStyle="1" w:styleId="37">
    <w:name w:val="页脚 字符"/>
    <w:basedOn w:val="22"/>
    <w:link w:val="12"/>
    <w:qFormat/>
    <w:uiPriority w:val="99"/>
    <w:rPr>
      <w:rFonts w:eastAsia="宋体"/>
      <w:kern w:val="2"/>
      <w:sz w:val="24"/>
      <w:lang w:val="en-US" w:eastAsia="zh-CN"/>
    </w:rPr>
  </w:style>
  <w:style w:type="character" w:customStyle="1" w:styleId="38">
    <w:name w:val="页眉 字符"/>
    <w:basedOn w:val="22"/>
    <w:link w:val="13"/>
    <w:qFormat/>
    <w:uiPriority w:val="99"/>
    <w:rPr>
      <w:rFonts w:eastAsia="宋体"/>
      <w:kern w:val="2"/>
      <w:sz w:val="24"/>
      <w:lang w:val="en-US" w:eastAsia="zh-CN"/>
    </w:rPr>
  </w:style>
  <w:style w:type="paragraph" w:customStyle="1" w:styleId="39">
    <w:name w:val="_Style 9"/>
    <w:basedOn w:val="1"/>
    <w:qFormat/>
    <w:uiPriority w:val="99"/>
    <w:pPr>
      <w:ind w:left="720"/>
      <w:contextualSpacing/>
    </w:pPr>
    <w:rPr>
      <w:rFonts w:ascii="Calibri" w:hAnsi="Calibri"/>
      <w:szCs w:val="22"/>
    </w:rPr>
  </w:style>
  <w:style w:type="paragraph" w:customStyle="1" w:styleId="40">
    <w:name w:val="List Paragraph1"/>
    <w:basedOn w:val="1"/>
    <w:qFormat/>
    <w:uiPriority w:val="99"/>
    <w:pPr>
      <w:ind w:firstLine="420" w:firstLineChars="200"/>
    </w:pPr>
  </w:style>
  <w:style w:type="paragraph" w:customStyle="1" w:styleId="41">
    <w:name w:val="正文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2">
    <w:name w:val="列出段落1"/>
    <w:basedOn w:val="1"/>
    <w:qFormat/>
    <w:uiPriority w:val="99"/>
    <w:pPr>
      <w:ind w:firstLine="420" w:firstLineChars="200"/>
    </w:pPr>
  </w:style>
  <w:style w:type="character" w:customStyle="1" w:styleId="43">
    <w:name w:val="down"/>
    <w:basedOn w:val="22"/>
    <w:qFormat/>
    <w:uiPriority w:val="99"/>
    <w:rPr>
      <w:rFonts w:cs="Times New Roman"/>
    </w:rPr>
  </w:style>
  <w:style w:type="character" w:customStyle="1" w:styleId="44">
    <w:name w:val="down1"/>
    <w:basedOn w:val="22"/>
    <w:qFormat/>
    <w:uiPriority w:val="99"/>
    <w:rPr>
      <w:rFonts w:cs="Times New Roman"/>
    </w:rPr>
  </w:style>
  <w:style w:type="paragraph" w:customStyle="1" w:styleId="45">
    <w:name w:val="列出段落2"/>
    <w:basedOn w:val="1"/>
    <w:qFormat/>
    <w:uiPriority w:val="99"/>
    <w:pPr>
      <w:ind w:firstLine="420" w:firstLineChars="200"/>
    </w:pPr>
  </w:style>
  <w:style w:type="character" w:customStyle="1" w:styleId="46">
    <w:name w:val="批注文字 字符"/>
    <w:basedOn w:val="22"/>
    <w:link w:val="6"/>
    <w:qFormat/>
    <w:uiPriority w:val="99"/>
    <w:rPr>
      <w:rFonts w:cs="Times New Roman"/>
      <w:kern w:val="2"/>
      <w:sz w:val="24"/>
      <w:szCs w:val="24"/>
    </w:rPr>
  </w:style>
  <w:style w:type="character" w:customStyle="1" w:styleId="47">
    <w:name w:val="批注主题 字符"/>
    <w:basedOn w:val="46"/>
    <w:link w:val="18"/>
    <w:qFormat/>
    <w:uiPriority w:val="99"/>
    <w:rPr>
      <w:rFonts w:cs="Times New Roman"/>
      <w:b/>
      <w:bCs/>
      <w:kern w:val="2"/>
      <w:sz w:val="24"/>
      <w:szCs w:val="24"/>
    </w:rPr>
  </w:style>
  <w:style w:type="paragraph" w:customStyle="1" w:styleId="48">
    <w:name w:val="表格文字"/>
    <w:basedOn w:val="1"/>
    <w:next w:val="7"/>
    <w:qFormat/>
    <w:uiPriority w:val="0"/>
    <w:pPr>
      <w:spacing w:line="420" w:lineRule="atLeast"/>
    </w:pPr>
    <w:rPr>
      <w:rFonts w:ascii="Calibri" w:hAnsi="Calibri"/>
    </w:rPr>
  </w:style>
  <w:style w:type="paragraph" w:customStyle="1" w:styleId="49">
    <w:name w:val="缩进正文"/>
    <w:qFormat/>
    <w:uiPriority w:val="1"/>
    <w:pPr>
      <w:adjustRightInd w:val="0"/>
      <w:snapToGrid w:val="0"/>
      <w:spacing w:beforeLines="70" w:afterLines="70" w:line="360" w:lineRule="exact"/>
      <w:ind w:left="1021"/>
      <w:jc w:val="both"/>
      <w:textAlignment w:val="baseline"/>
    </w:pPr>
    <w:rPr>
      <w:rFonts w:ascii="宋体" w:hAnsi="宋体" w:eastAsia="宋体" w:cs="Arial"/>
      <w:spacing w:val="30"/>
      <w:sz w:val="24"/>
      <w:szCs w:val="24"/>
      <w:lang w:val="en-GB" w:eastAsia="zh-CN" w:bidi="ar-SA"/>
    </w:rPr>
  </w:style>
  <w:style w:type="paragraph" w:customStyle="1" w:styleId="50">
    <w:name w:val="文档正文"/>
    <w:basedOn w:val="1"/>
    <w:qFormat/>
    <w:uiPriority w:val="0"/>
    <w:pPr>
      <w:adjustRightInd w:val="0"/>
      <w:spacing w:line="480" w:lineRule="atLeast"/>
      <w:ind w:firstLine="567"/>
    </w:pPr>
    <w:rPr>
      <w:rFonts w:hint="eastAsia" w:ascii="仿宋_GB2312" w:eastAsia="仿宋_GB2312"/>
      <w:kern w:val="0"/>
      <w:sz w:val="28"/>
    </w:rPr>
  </w:style>
  <w:style w:type="paragraph" w:styleId="51">
    <w:name w:val="List Paragraph"/>
    <w:basedOn w:val="1"/>
    <w:qFormat/>
    <w:uiPriority w:val="34"/>
    <w:pPr>
      <w:ind w:firstLine="420" w:firstLineChars="200"/>
    </w:pPr>
  </w:style>
  <w:style w:type="character" w:customStyle="1" w:styleId="52">
    <w:name w:val="hover12"/>
    <w:basedOn w:val="22"/>
    <w:qFormat/>
    <w:uiPriority w:val="0"/>
  </w:style>
  <w:style w:type="character" w:customStyle="1" w:styleId="53">
    <w:name w:val="gb-jt"/>
    <w:basedOn w:val="22"/>
    <w:qFormat/>
    <w:uiPriority w:val="0"/>
  </w:style>
  <w:style w:type="character" w:customStyle="1" w:styleId="54">
    <w:name w:val="right"/>
    <w:basedOn w:val="22"/>
    <w:qFormat/>
    <w:uiPriority w:val="0"/>
    <w:rPr>
      <w:color w:val="999999"/>
    </w:rPr>
  </w:style>
  <w:style w:type="character" w:customStyle="1" w:styleId="55">
    <w:name w:val="blue"/>
    <w:basedOn w:val="22"/>
    <w:qFormat/>
    <w:uiPriority w:val="0"/>
    <w:rPr>
      <w:color w:val="0371C6"/>
      <w:sz w:val="21"/>
      <w:szCs w:val="21"/>
    </w:rPr>
  </w:style>
  <w:style w:type="character" w:customStyle="1" w:styleId="56">
    <w:name w:val="hover"/>
    <w:basedOn w:val="22"/>
    <w:qFormat/>
    <w:uiPriority w:val="0"/>
  </w:style>
  <w:style w:type="paragraph" w:customStyle="1" w:styleId="57">
    <w:name w:val="样式 正文（首行缩进两字） + 宋体 小四"/>
    <w:basedOn w:val="5"/>
    <w:qFormat/>
    <w:uiPriority w:val="0"/>
    <w:pPr>
      <w:spacing w:line="560" w:lineRule="exact"/>
      <w:ind w:firstLine="576" w:firstLineChars="192"/>
    </w:pPr>
    <w:rPr>
      <w:rFonts w:ascii="仿宋_GB2312" w:hAnsi="宋体" w:eastAsia="仿宋_GB2312"/>
      <w:color w:val="000000"/>
      <w:kern w:val="0"/>
      <w:sz w:val="30"/>
      <w:szCs w:val="30"/>
    </w:rPr>
  </w:style>
  <w:style w:type="paragraph" w:customStyle="1" w:styleId="58">
    <w:name w:val="WPSOffice手动目录 1"/>
    <w:qFormat/>
    <w:uiPriority w:val="0"/>
    <w:rPr>
      <w:rFonts w:ascii="Times New Roman" w:hAnsi="Times New Roman" w:eastAsia="宋体" w:cs="Times New Roman"/>
      <w:lang w:val="en-US" w:eastAsia="zh-CN" w:bidi="ar-SA"/>
    </w:rPr>
  </w:style>
  <w:style w:type="character" w:customStyle="1" w:styleId="59">
    <w:name w:val="font61"/>
    <w:basedOn w:val="22"/>
    <w:qFormat/>
    <w:uiPriority w:val="0"/>
    <w:rPr>
      <w:rFonts w:ascii="Calibri" w:hAnsi="Calibri" w:cs="Calibri"/>
      <w:color w:val="000000"/>
      <w:sz w:val="20"/>
      <w:szCs w:val="20"/>
      <w:u w:val="none"/>
    </w:rPr>
  </w:style>
  <w:style w:type="character" w:customStyle="1" w:styleId="60">
    <w:name w:val="font51"/>
    <w:basedOn w:val="22"/>
    <w:qFormat/>
    <w:uiPriority w:val="0"/>
    <w:rPr>
      <w:rFonts w:hint="eastAsia" w:ascii="宋体" w:hAnsi="宋体" w:eastAsia="宋体" w:cs="宋体"/>
      <w:color w:val="000000"/>
      <w:sz w:val="20"/>
      <w:szCs w:val="20"/>
      <w:u w:val="none"/>
    </w:rPr>
  </w:style>
  <w:style w:type="paragraph" w:styleId="61">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62">
    <w:name w:val="hover16"/>
    <w:basedOn w:val="22"/>
    <w:qFormat/>
    <w:uiPriority w:val="0"/>
  </w:style>
  <w:style w:type="character" w:customStyle="1" w:styleId="63">
    <w:name w:val="hover14"/>
    <w:basedOn w:val="22"/>
    <w:qFormat/>
    <w:uiPriority w:val="0"/>
  </w:style>
  <w:style w:type="paragraph" w:customStyle="1" w:styleId="64">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100</Pages>
  <Words>7946</Words>
  <Characters>45296</Characters>
  <Lines>377</Lines>
  <Paragraphs>106</Paragraphs>
  <TotalTime>67</TotalTime>
  <ScaleCrop>false</ScaleCrop>
  <LinksUpToDate>false</LinksUpToDate>
  <CharactersWithSpaces>53136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2019-11-11T01:26:00Z</dcterms:created>
  <dc:creator>Administrator</dc:creator>
  <cp:lastModifiedBy>每天进步一点1393902221</cp:lastModifiedBy>
  <cp:lastPrinted>2019-11-25T07:45:00Z</cp:lastPrinted>
  <dcterms:modified xsi:type="dcterms:W3CDTF">2019-11-28T07:56:05Z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