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宋体" w:hAnsi="宋体" w:eastAsia="宋体"/>
          <w:sz w:val="24"/>
          <w:szCs w:val="24"/>
        </w:rPr>
      </w:pPr>
      <w:r>
        <w:rPr>
          <w:rFonts w:hint="eastAsia" w:ascii="宋体" w:hAnsi="宋体" w:eastAsia="宋体"/>
          <w:sz w:val="24"/>
          <w:szCs w:val="24"/>
        </w:rPr>
        <w:t>附件一:</w:t>
      </w:r>
    </w:p>
    <w:p>
      <w:pPr>
        <w:pStyle w:val="2"/>
        <w:spacing w:line="560" w:lineRule="exact"/>
        <w:jc w:val="center"/>
        <w:rPr>
          <w:rFonts w:ascii="宋体" w:hAnsi="宋体" w:eastAsia="宋体"/>
        </w:rPr>
      </w:pPr>
      <w:r>
        <w:rPr>
          <w:rFonts w:hint="eastAsia" w:ascii="宋体" w:hAnsi="宋体" w:eastAsia="宋体"/>
        </w:rPr>
        <w:t>招标代理机构进场行为评价标准</w:t>
      </w:r>
    </w:p>
    <w:tbl>
      <w:tblPr>
        <w:tblStyle w:val="3"/>
        <w:tblpPr w:leftFromText="180" w:rightFromText="180" w:vertAnchor="text" w:horzAnchor="page" w:tblpX="1987" w:tblpY="119"/>
        <w:tblOverlap w:val="never"/>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05"/>
        <w:gridCol w:w="489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75" w:type="dxa"/>
            <w:noWrap w:val="0"/>
            <w:vAlign w:val="center"/>
          </w:tcPr>
          <w:p>
            <w:pPr>
              <w:spacing w:line="560" w:lineRule="exact"/>
              <w:jc w:val="center"/>
              <w:rPr>
                <w:sz w:val="24"/>
                <w:szCs w:val="24"/>
              </w:rPr>
            </w:pPr>
            <w:r>
              <w:rPr>
                <w:rFonts w:hint="eastAsia" w:ascii="黑体" w:hAnsi="宋体" w:eastAsia="黑体"/>
                <w:sz w:val="24"/>
                <w:szCs w:val="24"/>
              </w:rPr>
              <w:t>序号</w:t>
            </w:r>
          </w:p>
        </w:tc>
        <w:tc>
          <w:tcPr>
            <w:tcW w:w="1305" w:type="dxa"/>
            <w:noWrap w:val="0"/>
            <w:vAlign w:val="center"/>
          </w:tcPr>
          <w:p>
            <w:pPr>
              <w:spacing w:line="560" w:lineRule="exact"/>
              <w:jc w:val="center"/>
              <w:rPr>
                <w:rFonts w:ascii="黑体" w:hAnsi="宋体" w:eastAsia="黑体"/>
                <w:sz w:val="24"/>
                <w:szCs w:val="24"/>
              </w:rPr>
            </w:pPr>
          </w:p>
        </w:tc>
        <w:tc>
          <w:tcPr>
            <w:tcW w:w="4890" w:type="dxa"/>
            <w:noWrap w:val="0"/>
            <w:vAlign w:val="center"/>
          </w:tcPr>
          <w:p>
            <w:pPr>
              <w:spacing w:line="560" w:lineRule="exact"/>
              <w:jc w:val="center"/>
              <w:rPr>
                <w:sz w:val="24"/>
                <w:szCs w:val="24"/>
              </w:rPr>
            </w:pPr>
            <w:r>
              <w:rPr>
                <w:rFonts w:hint="eastAsia" w:ascii="黑体" w:hAnsi="宋体" w:eastAsia="黑体"/>
                <w:sz w:val="24"/>
                <w:szCs w:val="24"/>
              </w:rPr>
              <w:t>评价内容</w:t>
            </w:r>
          </w:p>
        </w:tc>
        <w:tc>
          <w:tcPr>
            <w:tcW w:w="1366" w:type="dxa"/>
            <w:noWrap w:val="0"/>
            <w:vAlign w:val="center"/>
          </w:tcPr>
          <w:p>
            <w:pPr>
              <w:spacing w:line="560" w:lineRule="exact"/>
              <w:jc w:val="center"/>
              <w:rPr>
                <w:sz w:val="24"/>
                <w:szCs w:val="24"/>
              </w:rPr>
            </w:pPr>
            <w:r>
              <w:rPr>
                <w:rFonts w:hint="eastAsia" w:ascii="黑体" w:hAnsi="宋体" w:eastAsia="黑体"/>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w:t>
            </w:r>
          </w:p>
        </w:tc>
        <w:tc>
          <w:tcPr>
            <w:tcW w:w="1305" w:type="dxa"/>
            <w:vMerge w:val="restart"/>
            <w:noWrap w:val="0"/>
            <w:vAlign w:val="center"/>
          </w:tcPr>
          <w:p>
            <w:pPr>
              <w:spacing w:line="560" w:lineRule="exact"/>
              <w:jc w:val="center"/>
              <w:rPr>
                <w:rFonts w:ascii="宋体" w:hAnsi="宋体"/>
                <w:sz w:val="18"/>
                <w:szCs w:val="21"/>
              </w:rPr>
            </w:pPr>
            <w:r>
              <w:rPr>
                <w:rFonts w:hint="eastAsia" w:ascii="宋体" w:hAnsi="宋体"/>
                <w:sz w:val="18"/>
                <w:szCs w:val="21"/>
              </w:rPr>
              <w:t>招标阶段</w:t>
            </w:r>
          </w:p>
        </w:tc>
        <w:tc>
          <w:tcPr>
            <w:tcW w:w="4890" w:type="dxa"/>
            <w:noWrap w:val="0"/>
            <w:vAlign w:val="center"/>
          </w:tcPr>
          <w:p>
            <w:pPr>
              <w:spacing w:line="560" w:lineRule="exact"/>
              <w:jc w:val="left"/>
              <w:rPr>
                <w:sz w:val="18"/>
              </w:rPr>
            </w:pPr>
            <w:r>
              <w:rPr>
                <w:rFonts w:hint="eastAsia" w:ascii="宋体" w:hAnsi="宋体"/>
                <w:sz w:val="18"/>
                <w:szCs w:val="21"/>
              </w:rPr>
              <w:t>在办理主体信息库时，提供虚假资料或虚假信息的</w:t>
            </w:r>
          </w:p>
        </w:tc>
        <w:tc>
          <w:tcPr>
            <w:tcW w:w="1366" w:type="dxa"/>
            <w:noWrap w:val="0"/>
            <w:vAlign w:val="center"/>
          </w:tcPr>
          <w:p>
            <w:pPr>
              <w:spacing w:line="560" w:lineRule="exact"/>
              <w:jc w:val="center"/>
              <w:rPr>
                <w:sz w:val="18"/>
              </w:rPr>
            </w:pPr>
            <w:r>
              <w:rPr>
                <w:rFonts w:hint="eastAsia"/>
                <w:sz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w:t>
            </w:r>
          </w:p>
        </w:tc>
        <w:tc>
          <w:tcPr>
            <w:tcW w:w="1305" w:type="dxa"/>
            <w:vMerge w:val="continue"/>
            <w:noWrap w:val="0"/>
            <w:vAlign w:val="center"/>
          </w:tcPr>
          <w:p>
            <w:pPr>
              <w:spacing w:line="560" w:lineRule="exact"/>
              <w:jc w:val="center"/>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ascii="Arial" w:hAnsi="Arial" w:cs="Arial"/>
                <w:color w:val="000000"/>
                <w:sz w:val="18"/>
                <w:szCs w:val="21"/>
              </w:rPr>
              <w:t>项目立项信息提交后</w:t>
            </w:r>
            <w:r>
              <w:rPr>
                <w:rFonts w:hint="eastAsia" w:ascii="宋体" w:hAnsi="宋体" w:cs="宋体"/>
                <w:color w:val="000000"/>
                <w:sz w:val="18"/>
                <w:szCs w:val="21"/>
              </w:rPr>
              <w:t>差错较多(两处及以上)需退回重编的</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同一项目在行业监督部门备案(或发布)的交易文件与在中心发布的文件不一致的</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4</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招标文件、公告（或资格预审文件）编制粗糙、差错较多(5处及以上)需退回重编的</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5</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项目流标、推迟、暂停、终止等情况未及时发布公告并向中心受理处说明情况的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6</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招标文件、公告内容及上传方式未按中心规定执行的</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7</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rPr>
                <w:rFonts w:ascii="宋体" w:hAnsi="宋体"/>
                <w:sz w:val="18"/>
                <w:szCs w:val="21"/>
              </w:rPr>
            </w:pPr>
            <w:r>
              <w:rPr>
                <w:rFonts w:hint="eastAsia" w:ascii="宋体" w:hAnsi="宋体"/>
                <w:sz w:val="18"/>
                <w:szCs w:val="21"/>
              </w:rPr>
              <w:t>违反《</w:t>
            </w:r>
            <w:r>
              <w:rPr>
                <w:rFonts w:ascii="宋体" w:hAnsi="宋体"/>
                <w:sz w:val="18"/>
                <w:szCs w:val="21"/>
              </w:rPr>
              <w:t>电子招标投标办法</w:t>
            </w:r>
            <w:r>
              <w:rPr>
                <w:rFonts w:hint="eastAsia" w:ascii="宋体" w:hAnsi="宋体"/>
                <w:sz w:val="18"/>
                <w:szCs w:val="21"/>
              </w:rPr>
              <w:t>》的相关规定，采用电子招标的项目出现以下情形之一的：</w:t>
            </w:r>
          </w:p>
          <w:p>
            <w:pPr>
              <w:spacing w:line="560" w:lineRule="exact"/>
              <w:rPr>
                <w:rFonts w:ascii="宋体" w:hAnsi="宋体"/>
                <w:sz w:val="18"/>
                <w:szCs w:val="21"/>
              </w:rPr>
            </w:pPr>
            <w:r>
              <w:rPr>
                <w:rFonts w:hint="eastAsia" w:ascii="宋体" w:hAnsi="宋体"/>
                <w:sz w:val="18"/>
                <w:szCs w:val="21"/>
              </w:rPr>
              <w:t>（1）发出的招标公告、资格预审公告、资格预审文件、招标文件及其澄清文件、资格预审结果通知、中标通知等</w:t>
            </w:r>
            <w:r>
              <w:rPr>
                <w:rFonts w:ascii="宋体" w:hAnsi="宋体"/>
                <w:sz w:val="18"/>
                <w:szCs w:val="21"/>
              </w:rPr>
              <w:t>数据电文</w:t>
            </w:r>
            <w:r>
              <w:rPr>
                <w:rFonts w:hint="eastAsia" w:ascii="宋体" w:hAnsi="宋体"/>
                <w:sz w:val="18"/>
                <w:szCs w:val="21"/>
              </w:rPr>
              <w:t>未按要求进行电子签名并</w:t>
            </w:r>
            <w:r>
              <w:rPr>
                <w:rFonts w:ascii="宋体" w:hAnsi="宋体"/>
                <w:sz w:val="18"/>
                <w:szCs w:val="21"/>
              </w:rPr>
              <w:t>进行电子存档</w:t>
            </w:r>
            <w:r>
              <w:rPr>
                <w:rFonts w:hint="eastAsia" w:ascii="宋体" w:hAnsi="宋体"/>
                <w:sz w:val="18"/>
                <w:szCs w:val="21"/>
              </w:rPr>
              <w:t>的；(该条款具体实施后执行)</w:t>
            </w:r>
          </w:p>
          <w:p>
            <w:pPr>
              <w:spacing w:line="560" w:lineRule="exact"/>
              <w:jc w:val="left"/>
              <w:rPr>
                <w:rFonts w:ascii="宋体" w:hAnsi="宋体"/>
                <w:sz w:val="18"/>
                <w:szCs w:val="21"/>
              </w:rPr>
            </w:pPr>
            <w:r>
              <w:rPr>
                <w:rFonts w:hint="eastAsia" w:ascii="宋体" w:hAnsi="宋体"/>
                <w:sz w:val="18"/>
                <w:szCs w:val="21"/>
              </w:rPr>
              <w:t>（2）因招标代理机构原因造成投标人的投标文件未能正常解密的。</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8</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sz w:val="18"/>
              </w:rPr>
              <w:t>保证金账号书写不规范或错误</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9</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sz w:val="18"/>
              </w:rPr>
              <w:t>招标文件中有倾向性或泄露投标单位信息性条款</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10</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ascii="Arial" w:hAnsi="Arial" w:cs="Arial"/>
                <w:color w:val="000000"/>
                <w:sz w:val="18"/>
                <w:szCs w:val="21"/>
              </w:rPr>
              <w:t>预约场地后公告一天内未发布到网上导致中心场地资源流失的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11</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sz w:val="18"/>
              </w:rPr>
              <w:t>招标文件中有让投标单位提供各种证件原件的条款</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12</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项目开评标取消未及时释放中心场地资源或未按时间组织开评标的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13</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拖延抽取评标专家时间一小时以上</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14</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不服从中心管理抽取评标专家的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5" w:type="dxa"/>
            <w:noWrap w:val="0"/>
            <w:vAlign w:val="center"/>
          </w:tcPr>
          <w:p>
            <w:pPr>
              <w:spacing w:line="560" w:lineRule="exact"/>
              <w:jc w:val="center"/>
              <w:rPr>
                <w:sz w:val="18"/>
              </w:rPr>
            </w:pPr>
            <w:r>
              <w:rPr>
                <w:rFonts w:hint="eastAsia"/>
                <w:sz w:val="18"/>
              </w:rPr>
              <w:t>15</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现场抽取专家所需资料提供不全的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16</w:t>
            </w:r>
          </w:p>
        </w:tc>
        <w:tc>
          <w:tcPr>
            <w:tcW w:w="1305" w:type="dxa"/>
            <w:vMerge w:val="restart"/>
            <w:noWrap w:val="0"/>
            <w:vAlign w:val="center"/>
          </w:tcPr>
          <w:p>
            <w:pPr>
              <w:spacing w:line="560" w:lineRule="exact"/>
              <w:jc w:val="center"/>
              <w:rPr>
                <w:rFonts w:ascii="宋体" w:hAnsi="宋体"/>
                <w:sz w:val="18"/>
                <w:szCs w:val="21"/>
              </w:rPr>
            </w:pPr>
            <w:r>
              <w:rPr>
                <w:rFonts w:hint="eastAsia" w:ascii="宋体" w:hAnsi="宋体"/>
                <w:sz w:val="18"/>
                <w:szCs w:val="21"/>
              </w:rPr>
              <w:t>开标阶段</w:t>
            </w:r>
          </w:p>
        </w:tc>
        <w:tc>
          <w:tcPr>
            <w:tcW w:w="4890" w:type="dxa"/>
            <w:noWrap w:val="0"/>
            <w:vAlign w:val="center"/>
          </w:tcPr>
          <w:p>
            <w:pPr>
              <w:spacing w:line="560" w:lineRule="exact"/>
              <w:jc w:val="left"/>
              <w:rPr>
                <w:rFonts w:ascii="宋体" w:hAnsi="宋体"/>
                <w:sz w:val="18"/>
                <w:szCs w:val="21"/>
              </w:rPr>
            </w:pPr>
            <w:r>
              <w:rPr>
                <w:rFonts w:hint="eastAsia"/>
                <w:sz w:val="18"/>
              </w:rPr>
              <w:t>由于自身原因造成开评标无法正常进行的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17</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场内不服从交易中心工作人员管理的</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18</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同一项目交易活动现场工作人员不满足开评标需求的</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19</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组织交易活动准备工作不充分或者组织程序混乱，与交易当事人发生争吵影响交易活动进程或造成不良后果的</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20</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影响资格审查工作的</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21</w:t>
            </w:r>
          </w:p>
        </w:tc>
        <w:tc>
          <w:tcPr>
            <w:tcW w:w="1305" w:type="dxa"/>
            <w:vMerge w:val="restart"/>
            <w:noWrap w:val="0"/>
            <w:vAlign w:val="center"/>
          </w:tcPr>
          <w:p>
            <w:pPr>
              <w:spacing w:line="560" w:lineRule="exact"/>
              <w:jc w:val="center"/>
              <w:rPr>
                <w:rFonts w:ascii="宋体" w:hAnsi="宋体"/>
                <w:sz w:val="18"/>
                <w:szCs w:val="21"/>
              </w:rPr>
            </w:pPr>
            <w:r>
              <w:rPr>
                <w:rFonts w:hint="eastAsia" w:ascii="宋体" w:hAnsi="宋体"/>
                <w:sz w:val="18"/>
                <w:szCs w:val="21"/>
              </w:rPr>
              <w:t>评标阶段</w:t>
            </w: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携带通讯工具进评标区的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22</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无故拖延向评标室送资料的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23</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因编制的招标文件错漏或全流程设置错误而无法评标的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24</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评标过程中擅自离开询标室</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25</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sz w:val="18"/>
              </w:rPr>
            </w:pPr>
            <w:r>
              <w:rPr>
                <w:rFonts w:hint="eastAsia" w:ascii="宋体" w:hAnsi="宋体"/>
                <w:sz w:val="18"/>
                <w:szCs w:val="21"/>
              </w:rPr>
              <w:t>评标过程中私自与评标专家沟通，干扰评标专家正常评标工作</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26</w:t>
            </w:r>
          </w:p>
        </w:tc>
        <w:tc>
          <w:tcPr>
            <w:tcW w:w="1305" w:type="dxa"/>
            <w:vMerge w:val="restart"/>
            <w:noWrap w:val="0"/>
            <w:vAlign w:val="center"/>
          </w:tcPr>
          <w:p>
            <w:pPr>
              <w:spacing w:line="560" w:lineRule="exact"/>
              <w:jc w:val="center"/>
              <w:rPr>
                <w:rFonts w:ascii="宋体" w:hAnsi="宋体"/>
                <w:sz w:val="18"/>
                <w:szCs w:val="21"/>
              </w:rPr>
            </w:pPr>
            <w:r>
              <w:rPr>
                <w:rFonts w:hint="eastAsia" w:ascii="宋体" w:hAnsi="宋体"/>
                <w:sz w:val="18"/>
                <w:szCs w:val="21"/>
              </w:rPr>
              <w:t>定标阶段</w:t>
            </w: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擅自修改、调换项目档案中的资料</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27</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无正当理由拒收异议的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28</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中标公示期满后未及时领取封存资料的(如有封存资料)</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29</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hint="eastAsia" w:ascii="宋体" w:hAnsi="宋体"/>
                <w:sz w:val="18"/>
                <w:szCs w:val="21"/>
              </w:rPr>
            </w:pPr>
            <w:r>
              <w:rPr>
                <w:rFonts w:hint="eastAsia"/>
                <w:sz w:val="18"/>
              </w:rPr>
              <w:t>代理公司收到招标文件费后，未及时给投标人开具发票</w:t>
            </w:r>
          </w:p>
        </w:tc>
        <w:tc>
          <w:tcPr>
            <w:tcW w:w="1366" w:type="dxa"/>
            <w:noWrap w:val="0"/>
            <w:vAlign w:val="center"/>
          </w:tcPr>
          <w:p>
            <w:pPr>
              <w:spacing w:line="560" w:lineRule="exact"/>
              <w:jc w:val="center"/>
              <w:rPr>
                <w:rFonts w:hint="eastAsia"/>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30</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hint="eastAsia" w:ascii="宋体" w:hAnsi="宋体"/>
                <w:sz w:val="18"/>
                <w:szCs w:val="21"/>
              </w:rPr>
            </w:pPr>
            <w:r>
              <w:rPr>
                <w:rFonts w:hint="eastAsia" w:ascii="宋体" w:hAnsi="宋体"/>
                <w:sz w:val="18"/>
                <w:szCs w:val="21"/>
              </w:rPr>
              <w:t>代理公司未及时提请中心退还保证金</w:t>
            </w:r>
          </w:p>
        </w:tc>
        <w:tc>
          <w:tcPr>
            <w:tcW w:w="1366" w:type="dxa"/>
            <w:noWrap w:val="0"/>
            <w:vAlign w:val="center"/>
          </w:tcPr>
          <w:p>
            <w:pPr>
              <w:spacing w:line="560" w:lineRule="exact"/>
              <w:jc w:val="center"/>
              <w:rPr>
                <w:rFonts w:hint="eastAsia"/>
                <w:sz w:val="18"/>
              </w:rPr>
            </w:pPr>
            <w:r>
              <w:rPr>
                <w:rFonts w:hint="eastAsia"/>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31</w:t>
            </w:r>
          </w:p>
        </w:tc>
        <w:tc>
          <w:tcPr>
            <w:tcW w:w="1305" w:type="dxa"/>
            <w:vMerge w:val="restart"/>
            <w:noWrap w:val="0"/>
            <w:vAlign w:val="center"/>
          </w:tcPr>
          <w:p>
            <w:pPr>
              <w:spacing w:line="560" w:lineRule="exact"/>
              <w:jc w:val="center"/>
              <w:rPr>
                <w:rFonts w:ascii="宋体" w:hAnsi="宋体"/>
                <w:sz w:val="18"/>
                <w:szCs w:val="21"/>
              </w:rPr>
            </w:pPr>
            <w:r>
              <w:rPr>
                <w:rFonts w:hint="eastAsia" w:ascii="宋体" w:hAnsi="宋体"/>
                <w:sz w:val="18"/>
                <w:szCs w:val="21"/>
              </w:rPr>
              <w:t>其它</w:t>
            </w:r>
          </w:p>
        </w:tc>
        <w:tc>
          <w:tcPr>
            <w:tcW w:w="4890" w:type="dxa"/>
            <w:noWrap w:val="0"/>
            <w:vAlign w:val="center"/>
          </w:tcPr>
          <w:p>
            <w:pPr>
              <w:autoSpaceDE w:val="0"/>
              <w:autoSpaceDN w:val="0"/>
              <w:adjustRightInd w:val="0"/>
              <w:spacing w:line="560" w:lineRule="exact"/>
              <w:jc w:val="left"/>
              <w:rPr>
                <w:rFonts w:ascii="宋体" w:hAnsi="宋体"/>
                <w:sz w:val="18"/>
                <w:szCs w:val="21"/>
              </w:rPr>
            </w:pPr>
            <w:r>
              <w:rPr>
                <w:rFonts w:hint="eastAsia" w:ascii="宋体" w:hAnsi="宋体"/>
                <w:sz w:val="18"/>
                <w:szCs w:val="21"/>
              </w:rPr>
              <w:t>超越权限擅自作为的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32</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全流程电子化交易过程中因操作造成错误数据、异常数据等在河南省公共资源交易在线监管平台被通报的或在河南省公共服务平台被扣分的</w:t>
            </w:r>
          </w:p>
        </w:tc>
        <w:tc>
          <w:tcPr>
            <w:tcW w:w="1366" w:type="dxa"/>
            <w:noWrap w:val="0"/>
            <w:vAlign w:val="center"/>
          </w:tcPr>
          <w:p>
            <w:pPr>
              <w:spacing w:line="560" w:lineRule="exact"/>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33</w:t>
            </w:r>
          </w:p>
        </w:tc>
        <w:tc>
          <w:tcPr>
            <w:tcW w:w="1305" w:type="dxa"/>
            <w:vMerge w:val="continue"/>
            <w:noWrap w:val="0"/>
            <w:vAlign w:val="center"/>
          </w:tcPr>
          <w:p>
            <w:pPr>
              <w:autoSpaceDE w:val="0"/>
              <w:autoSpaceDN w:val="0"/>
              <w:adjustRightInd w:val="0"/>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不爱护中心设备或损坏设备，未经同意擅自使用中心设备</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34</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sz w:val="18"/>
              </w:rPr>
              <w:t>未按要求参加中心会议、学习和培训的</w:t>
            </w:r>
          </w:p>
        </w:tc>
        <w:tc>
          <w:tcPr>
            <w:tcW w:w="1366" w:type="dxa"/>
            <w:noWrap w:val="0"/>
            <w:vAlign w:val="center"/>
          </w:tcPr>
          <w:p>
            <w:pPr>
              <w:spacing w:line="560" w:lineRule="exact"/>
              <w:jc w:val="center"/>
              <w:rPr>
                <w:sz w:val="18"/>
              </w:rPr>
            </w:pPr>
            <w:r>
              <w:rPr>
                <w:rFonts w:hint="eastAsia"/>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35</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在禁烟区域内吸烟，随地吐痰或扔垃圾</w:t>
            </w:r>
          </w:p>
        </w:tc>
        <w:tc>
          <w:tcPr>
            <w:tcW w:w="1366" w:type="dxa"/>
            <w:noWrap w:val="0"/>
            <w:vAlign w:val="center"/>
          </w:tcPr>
          <w:p>
            <w:pPr>
              <w:spacing w:line="560" w:lineRule="exact"/>
              <w:jc w:val="center"/>
              <w:rPr>
                <w:sz w:val="18"/>
              </w:rPr>
            </w:pPr>
            <w:r>
              <w:rPr>
                <w:rFonts w:hint="eastAsia"/>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noWrap w:val="0"/>
            <w:vAlign w:val="center"/>
          </w:tcPr>
          <w:p>
            <w:pPr>
              <w:spacing w:line="560" w:lineRule="exact"/>
              <w:jc w:val="center"/>
              <w:rPr>
                <w:sz w:val="18"/>
              </w:rPr>
            </w:pPr>
            <w:r>
              <w:rPr>
                <w:rFonts w:hint="eastAsia"/>
                <w:sz w:val="18"/>
              </w:rPr>
              <w:t>36</w:t>
            </w:r>
          </w:p>
        </w:tc>
        <w:tc>
          <w:tcPr>
            <w:tcW w:w="1305" w:type="dxa"/>
            <w:vMerge w:val="continue"/>
            <w:noWrap w:val="0"/>
            <w:vAlign w:val="center"/>
          </w:tcPr>
          <w:p>
            <w:pPr>
              <w:spacing w:line="560" w:lineRule="exact"/>
              <w:jc w:val="left"/>
              <w:rPr>
                <w:rFonts w:ascii="宋体" w:hAnsi="宋体"/>
                <w:sz w:val="18"/>
                <w:szCs w:val="21"/>
              </w:rPr>
            </w:pPr>
          </w:p>
        </w:tc>
        <w:tc>
          <w:tcPr>
            <w:tcW w:w="4890" w:type="dxa"/>
            <w:noWrap w:val="0"/>
            <w:vAlign w:val="center"/>
          </w:tcPr>
          <w:p>
            <w:pPr>
              <w:spacing w:line="560" w:lineRule="exact"/>
              <w:jc w:val="left"/>
              <w:rPr>
                <w:rFonts w:ascii="宋体" w:hAnsi="宋体"/>
                <w:sz w:val="18"/>
                <w:szCs w:val="21"/>
              </w:rPr>
            </w:pPr>
            <w:r>
              <w:rPr>
                <w:rFonts w:hint="eastAsia" w:ascii="宋体" w:hAnsi="宋体"/>
                <w:sz w:val="18"/>
                <w:szCs w:val="21"/>
              </w:rPr>
              <w:t>其他不规范行为</w:t>
            </w:r>
          </w:p>
        </w:tc>
        <w:tc>
          <w:tcPr>
            <w:tcW w:w="1366" w:type="dxa"/>
            <w:noWrap w:val="0"/>
            <w:vAlign w:val="center"/>
          </w:tcPr>
          <w:p>
            <w:pPr>
              <w:spacing w:line="560" w:lineRule="exact"/>
              <w:jc w:val="center"/>
              <w:rPr>
                <w:sz w:val="18"/>
              </w:rPr>
            </w:pPr>
            <w:r>
              <w:rPr>
                <w:rFonts w:hint="eastAsia"/>
                <w:sz w:val="18"/>
              </w:rPr>
              <w:t>10</w:t>
            </w:r>
          </w:p>
        </w:tc>
      </w:tr>
    </w:tbl>
    <w:p>
      <w:pPr>
        <w:spacing w:line="560" w:lineRule="exact"/>
        <w:rPr>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14DD"/>
    <w:rsid w:val="5FFF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2019-12-30T06:40:00Z</dcterms:created>
  <dc:creator>冷暖（建•行）自知</dc:creator>
  <cp:lastModifiedBy>冷暖（建•行）自知</cp:lastModifiedBy>
  <dcterms:modified xsi:type="dcterms:W3CDTF">2019-12-30T06:41:24Z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