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center" w:pos="3316"/>
        </w:tabs>
        <w:jc w:val="both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附件4</w:t>
      </w:r>
    </w:p>
    <w:p>
      <w:pPr>
        <w:tabs>
          <w:tab w:val="center" w:pos="3316"/>
        </w:tabs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shd w:val="clear" w:fill="FFFFFF"/>
          <w:lang w:eastAsia="zh-CN"/>
        </w:rPr>
        <w:t>“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shd w:val="clear" w:fill="FFFFFF"/>
        </w:rPr>
        <w:t>不见面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shd w:val="clear" w:fill="FFFFFF"/>
          <w:lang w:eastAsia="zh-CN"/>
        </w:rPr>
        <w:t>”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shd w:val="clear" w:fill="FFFFFF"/>
        </w:rPr>
        <w:t>开标注意事项及操作流程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一、注意事项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</w:t>
      </w:r>
      <w:r>
        <w:rPr>
          <w:rFonts w:hint="eastAsia" w:ascii="仿宋" w:hAnsi="仿宋" w:eastAsia="仿宋" w:cs="仿宋"/>
          <w:sz w:val="32"/>
          <w:szCs w:val="32"/>
        </w:rPr>
        <w:t>招标人和代理机</w:t>
      </w:r>
      <w:bookmarkStart w:id="24" w:name="_GoBack"/>
      <w:bookmarkEnd w:id="24"/>
      <w:r>
        <w:rPr>
          <w:rFonts w:hint="eastAsia" w:ascii="仿宋" w:hAnsi="仿宋" w:eastAsia="仿宋" w:cs="仿宋"/>
          <w:sz w:val="32"/>
          <w:szCs w:val="32"/>
        </w:rPr>
        <w:t>构应当提前做好各项准备工作，准时开标。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</w:t>
      </w:r>
      <w:r>
        <w:rPr>
          <w:rFonts w:hint="eastAsia" w:ascii="仿宋" w:hAnsi="仿宋" w:eastAsia="仿宋" w:cs="仿宋"/>
          <w:sz w:val="32"/>
          <w:szCs w:val="32"/>
        </w:rPr>
        <w:t>开标时，投标人采用网上远程异地解密时，请用CA证书登录平顶山市公共资源交易中心业务系统，进入本项目开标大厅点击解密来完成投标文件的解密工作。每位投标人的解密时间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从</w:t>
      </w:r>
      <w:r>
        <w:rPr>
          <w:rFonts w:hint="eastAsia" w:ascii="仿宋" w:hAnsi="仿宋" w:eastAsia="仿宋" w:cs="仿宋"/>
          <w:sz w:val="32"/>
          <w:szCs w:val="32"/>
        </w:rPr>
        <w:t>开标时间起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60</w:t>
      </w:r>
      <w:r>
        <w:rPr>
          <w:rFonts w:hint="eastAsia" w:ascii="仿宋" w:hAnsi="仿宋" w:eastAsia="仿宋" w:cs="仿宋"/>
          <w:sz w:val="32"/>
          <w:szCs w:val="32"/>
        </w:rPr>
        <w:t>分钟内完成，超过规定时间解密的投标文件不予接收。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z w:val="32"/>
          <w:szCs w:val="32"/>
        </w:rPr>
        <w:t>如出现投标人的电子投标文件无法解密的情况，投标人应及时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联系招标人（代理机构）进行</w:t>
      </w:r>
      <w:r>
        <w:rPr>
          <w:rFonts w:hint="eastAsia" w:ascii="仿宋" w:hAnsi="仿宋" w:eastAsia="仿宋" w:cs="仿宋"/>
          <w:sz w:val="32"/>
          <w:szCs w:val="32"/>
        </w:rPr>
        <w:t>说明。投标文件解密异常，按以下步骤进行处理：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（1）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如果</w:t>
      </w:r>
      <w:r>
        <w:rPr>
          <w:rFonts w:hint="eastAsia" w:ascii="仿宋" w:hAnsi="仿宋" w:eastAsia="仿宋" w:cs="仿宋"/>
          <w:sz w:val="32"/>
          <w:szCs w:val="32"/>
        </w:rPr>
        <w:t>是投标文件自身问题导致投标文件无法解密的，该投标文件将不予接收、解密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（2）</w:t>
      </w:r>
      <w:r>
        <w:rPr>
          <w:rFonts w:hint="eastAsia" w:ascii="仿宋" w:hAnsi="仿宋" w:eastAsia="仿宋" w:cs="仿宋"/>
          <w:sz w:val="32"/>
          <w:szCs w:val="32"/>
        </w:rPr>
        <w:t>如果是电子化交易系统问题造成投标文件无法解密的，将由技术人员进行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排查</w:t>
      </w:r>
      <w:r>
        <w:rPr>
          <w:rFonts w:hint="eastAsia" w:ascii="仿宋" w:hAnsi="仿宋" w:eastAsia="仿宋" w:cs="仿宋"/>
          <w:sz w:val="32"/>
          <w:szCs w:val="32"/>
        </w:rPr>
        <w:t>处理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如短时间内问题无法解决的，将由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招标人（代理机构）联系</w:t>
      </w:r>
      <w:r>
        <w:rPr>
          <w:rFonts w:hint="eastAsia" w:ascii="仿宋" w:hAnsi="仿宋" w:eastAsia="仿宋" w:cs="仿宋"/>
          <w:sz w:val="32"/>
          <w:szCs w:val="32"/>
        </w:rPr>
        <w:t>监督部门申请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暂停开标</w:t>
      </w:r>
      <w:r>
        <w:rPr>
          <w:rFonts w:hint="eastAsia" w:ascii="仿宋" w:hAnsi="仿宋" w:eastAsia="仿宋" w:cs="仿宋"/>
          <w:sz w:val="32"/>
          <w:szCs w:val="32"/>
        </w:rPr>
        <w:t>，待问题解决后继续开标。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所有</w:t>
      </w:r>
      <w:r>
        <w:rPr>
          <w:rFonts w:hint="eastAsia" w:ascii="仿宋" w:hAnsi="仿宋" w:eastAsia="仿宋" w:cs="仿宋"/>
          <w:sz w:val="32"/>
          <w:szCs w:val="32"/>
        </w:rPr>
        <w:t>投标文件解密完成后，由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招标人（代理机构）</w:t>
      </w:r>
      <w:r>
        <w:rPr>
          <w:rFonts w:hint="eastAsia" w:ascii="仿宋" w:hAnsi="仿宋" w:eastAsia="仿宋" w:cs="仿宋"/>
          <w:sz w:val="32"/>
          <w:szCs w:val="32"/>
        </w:rPr>
        <w:t>操作，对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开标结果进行公示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</w:t>
      </w:r>
      <w:r>
        <w:rPr>
          <w:rFonts w:hint="eastAsia" w:ascii="仿宋" w:hAnsi="仿宋" w:eastAsia="仿宋" w:cs="仿宋"/>
          <w:sz w:val="32"/>
          <w:szCs w:val="32"/>
        </w:rPr>
        <w:t>投标人应保证在开标期间电话、电脑、网络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等</w:t>
      </w:r>
      <w:r>
        <w:rPr>
          <w:rFonts w:hint="eastAsia" w:ascii="仿宋" w:hAnsi="仿宋" w:eastAsia="仿宋" w:cs="仿宋"/>
          <w:sz w:val="32"/>
          <w:szCs w:val="32"/>
        </w:rPr>
        <w:t>能够正常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使用</w:t>
      </w:r>
      <w:r>
        <w:rPr>
          <w:rFonts w:hint="eastAsia" w:ascii="仿宋" w:hAnsi="仿宋" w:eastAsia="仿宋" w:cs="仿宋"/>
          <w:sz w:val="32"/>
          <w:szCs w:val="32"/>
        </w:rPr>
        <w:t>，投标人因停电、电脑病毒、网络堵塞等原因，未在规定的解密时间内对投标文件进行解密的，其投标文件不予接收。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解密完成后，</w:t>
      </w:r>
      <w:r>
        <w:rPr>
          <w:rFonts w:hint="eastAsia" w:ascii="仿宋" w:hAnsi="仿宋" w:eastAsia="仿宋" w:cs="仿宋"/>
          <w:sz w:val="32"/>
          <w:szCs w:val="32"/>
        </w:rPr>
        <w:t>投标人可登录到交易系统查看自己的投标报价。如对自己的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报价</w:t>
      </w:r>
      <w:r>
        <w:rPr>
          <w:rFonts w:hint="eastAsia" w:ascii="仿宋" w:hAnsi="仿宋" w:eastAsia="仿宋" w:cs="仿宋"/>
          <w:sz w:val="32"/>
          <w:szCs w:val="32"/>
        </w:rPr>
        <w:t>内容有异议的，应在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报价内容显示后</w:t>
      </w:r>
      <w:r>
        <w:rPr>
          <w:rFonts w:hint="eastAsia" w:ascii="仿宋" w:hAnsi="仿宋" w:eastAsia="仿宋" w:cs="仿宋"/>
          <w:sz w:val="32"/>
          <w:szCs w:val="32"/>
        </w:rPr>
        <w:t>20分钟内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联系招标人（代理机构）进行质疑，</w:t>
      </w:r>
      <w:r>
        <w:rPr>
          <w:rFonts w:hint="eastAsia" w:ascii="仿宋" w:hAnsi="仿宋" w:eastAsia="仿宋" w:cs="仿宋"/>
          <w:sz w:val="32"/>
          <w:szCs w:val="32"/>
        </w:rPr>
        <w:t>投标人未在规定时间内提出质疑的，视为认可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开标结果显示</w:t>
      </w:r>
      <w:r>
        <w:rPr>
          <w:rFonts w:hint="eastAsia" w:ascii="仿宋" w:hAnsi="仿宋" w:eastAsia="仿宋" w:cs="仿宋"/>
          <w:sz w:val="32"/>
          <w:szCs w:val="32"/>
        </w:rPr>
        <w:t>内容。</w:t>
      </w:r>
    </w:p>
    <w:p>
      <w:pPr>
        <w:pStyle w:val="2"/>
        <w:keepNext w:val="0"/>
        <w:keepLines w:val="0"/>
        <w:ind w:firstLine="640" w:firstLineChars="200"/>
        <w:jc w:val="both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  <w:t>二、操作流程</w:t>
      </w:r>
      <w:bookmarkStart w:id="0" w:name="_Toc17128212"/>
      <w:bookmarkStart w:id="1" w:name="_Toc7337473"/>
    </w:p>
    <w:p>
      <w:pPr>
        <w:pStyle w:val="2"/>
        <w:keepNext w:val="0"/>
        <w:keepLines w:val="0"/>
        <w:ind w:firstLine="643" w:firstLineChars="200"/>
        <w:jc w:val="both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（一）系统环境设置</w:t>
      </w:r>
      <w:bookmarkEnd w:id="0"/>
      <w:bookmarkEnd w:id="1"/>
      <w:bookmarkStart w:id="2" w:name="_Toc445209237"/>
      <w:bookmarkStart w:id="3" w:name="_Toc17128213"/>
      <w:bookmarkStart w:id="4" w:name="_Toc446056055"/>
      <w:bookmarkStart w:id="5" w:name="_Toc446592999"/>
    </w:p>
    <w:p>
      <w:pPr>
        <w:pStyle w:val="2"/>
        <w:keepNext w:val="0"/>
        <w:keepLines w:val="0"/>
        <w:ind w:firstLine="643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运行环境要求</w:t>
      </w:r>
      <w:bookmarkEnd w:id="2"/>
      <w:bookmarkEnd w:id="3"/>
      <w:bookmarkEnd w:id="4"/>
      <w:bookmarkEnd w:id="5"/>
      <w:bookmarkStart w:id="6" w:name="_Toc17128214"/>
    </w:p>
    <w:p>
      <w:pPr>
        <w:pStyle w:val="2"/>
        <w:keepNext w:val="0"/>
        <w:keepLines w:val="0"/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Style w:val="10"/>
          <w:rFonts w:hint="eastAsia" w:ascii="仿宋" w:hAnsi="仿宋" w:eastAsia="仿宋" w:cs="仿宋"/>
          <w:b w:val="0"/>
          <w:bCs w:val="0"/>
          <w:sz w:val="32"/>
          <w:szCs w:val="32"/>
        </w:rPr>
        <w:t>1.1操作系统要求：</w:t>
      </w:r>
      <w:bookmarkEnd w:id="6"/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 xml:space="preserve"> Win7/Win 10 下均可运行，建议使用Win7 版本。</w:t>
      </w:r>
      <w:bookmarkStart w:id="7" w:name="_Toc17128215"/>
    </w:p>
    <w:p>
      <w:pPr>
        <w:pStyle w:val="2"/>
        <w:keepNext w:val="0"/>
        <w:keepLines w:val="0"/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Style w:val="10"/>
          <w:rFonts w:hint="eastAsia" w:ascii="仿宋" w:hAnsi="仿宋" w:eastAsia="仿宋" w:cs="仿宋"/>
          <w:b w:val="0"/>
          <w:bCs w:val="0"/>
          <w:sz w:val="32"/>
          <w:szCs w:val="32"/>
        </w:rPr>
        <w:t>1.2 浏览器要求：</w:t>
      </w:r>
      <w:bookmarkEnd w:id="7"/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必须使用IE浏览器，版本支持IE 11及以上版本。</w:t>
      </w:r>
      <w:bookmarkStart w:id="8" w:name="_Toc17128216"/>
    </w:p>
    <w:p>
      <w:pPr>
        <w:pStyle w:val="2"/>
        <w:keepNext w:val="0"/>
        <w:keepLines w:val="0"/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Style w:val="10"/>
          <w:rFonts w:hint="eastAsia" w:ascii="仿宋" w:hAnsi="仿宋" w:eastAsia="仿宋" w:cs="仿宋"/>
          <w:b w:val="0"/>
          <w:bCs w:val="0"/>
          <w:sz w:val="32"/>
          <w:szCs w:val="32"/>
        </w:rPr>
        <w:t>1.3 辅助软件要求：</w:t>
      </w:r>
      <w:bookmarkEnd w:id="8"/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必须安装微软Office，且必须是完整版office，2003或以上版本都可以，建议使用office2010。</w:t>
      </w:r>
      <w:bookmarkStart w:id="9" w:name="_Toc446056056"/>
      <w:bookmarkStart w:id="10" w:name="_Toc446593000"/>
      <w:bookmarkStart w:id="11" w:name="_Toc445209238"/>
      <w:bookmarkStart w:id="12" w:name="_Toc17128217"/>
    </w:p>
    <w:bookmarkEnd w:id="9"/>
    <w:bookmarkEnd w:id="10"/>
    <w:bookmarkEnd w:id="11"/>
    <w:p>
      <w:pPr>
        <w:pStyle w:val="2"/>
        <w:keepNext w:val="0"/>
        <w:keepLines w:val="0"/>
        <w:ind w:firstLine="643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</w:t>
      </w:r>
      <w:r>
        <w:rPr>
          <w:rFonts w:hint="eastAsia" w:ascii="仿宋" w:hAnsi="仿宋" w:eastAsia="仿宋" w:cs="仿宋"/>
          <w:sz w:val="32"/>
          <w:szCs w:val="32"/>
        </w:rPr>
        <w:t>浏览器版本</w:t>
      </w:r>
      <w:bookmarkEnd w:id="12"/>
    </w:p>
    <w:p>
      <w:pPr>
        <w:pStyle w:val="2"/>
        <w:keepNext w:val="0"/>
        <w:keepLines w:val="0"/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必须使用IE浏览器，版本支持IE 11及以上版本。</w:t>
      </w:r>
      <w:bookmarkStart w:id="13" w:name="_Toc17128218"/>
      <w:bookmarkStart w:id="14" w:name="_Toc445209239"/>
      <w:bookmarkStart w:id="15" w:name="_Toc446056057"/>
      <w:bookmarkStart w:id="16" w:name="_Toc446593001"/>
    </w:p>
    <w:p>
      <w:pPr>
        <w:pStyle w:val="2"/>
        <w:keepNext w:val="0"/>
        <w:keepLines w:val="0"/>
        <w:ind w:firstLine="643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bookmarkEnd w:id="13"/>
      <w:r>
        <w:rPr>
          <w:rFonts w:hint="eastAsia" w:ascii="仿宋" w:hAnsi="仿宋" w:eastAsia="仿宋" w:cs="仿宋"/>
          <w:sz w:val="32"/>
          <w:szCs w:val="32"/>
        </w:rPr>
        <w:t>浏览器设置</w:t>
      </w:r>
      <w:bookmarkStart w:id="17" w:name="_Toc17128220"/>
    </w:p>
    <w:p>
      <w:pPr>
        <w:pStyle w:val="2"/>
        <w:keepNext w:val="0"/>
        <w:keepLines w:val="0"/>
        <w:ind w:firstLine="643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3.1 兼容性视图设置</w:t>
      </w:r>
      <w:bookmarkEnd w:id="17"/>
      <w:bookmarkStart w:id="18" w:name="_TOC_250006"/>
      <w:bookmarkEnd w:id="18"/>
    </w:p>
    <w:p>
      <w:pPr>
        <w:autoSpaceDE w:val="0"/>
        <w:autoSpaceDN w:val="0"/>
        <w:adjustRightInd w:val="0"/>
        <w:spacing w:before="156" w:beforeLines="50" w:after="156" w:afterLines="50" w:line="360" w:lineRule="auto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打开 IE 浏览器进入信源不见面交易系统，在浏览器“工具（T）” 下点击 “兼容性视图设置（B）”（【图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】所示）。</w:t>
      </w:r>
    </w:p>
    <w:p>
      <w:pPr>
        <w:autoSpaceDE w:val="0"/>
        <w:autoSpaceDN w:val="0"/>
        <w:adjustRightInd w:val="0"/>
        <w:spacing w:before="156" w:beforeLines="50" w:after="156" w:afterLines="50" w:line="360" w:lineRule="auto"/>
        <w:ind w:firstLine="640" w:firstLineChars="200"/>
        <w:jc w:val="left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在弹出的“兼容性视图设置”界面，点击“添加”按钮，将交易系统地址添加至“已添加到兼容性视图中的网站（</w:t>
      </w:r>
      <w:r>
        <w:rPr>
          <w:rFonts w:hint="eastAsia" w:ascii="仿宋" w:hAnsi="仿宋" w:eastAsia="仿宋" w:cs="仿宋"/>
          <w:sz w:val="32"/>
          <w:szCs w:val="32"/>
          <w:u w:val="single"/>
        </w:rPr>
        <w:t>W</w:t>
      </w:r>
      <w:r>
        <w:rPr>
          <w:rFonts w:hint="eastAsia" w:ascii="仿宋" w:hAnsi="仿宋" w:eastAsia="仿宋" w:cs="仿宋"/>
          <w:sz w:val="32"/>
          <w:szCs w:val="32"/>
        </w:rPr>
        <w:t xml:space="preserve">）”区域内（【图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】所示）。</w:t>
      </w:r>
    </w:p>
    <w:p>
      <w:pPr>
        <w:spacing w:line="220" w:lineRule="auto"/>
        <w:ind w:firstLine="1280" w:firstLineChars="4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4033520</wp:posOffset>
            </wp:positionH>
            <wp:positionV relativeFrom="paragraph">
              <wp:posOffset>95885</wp:posOffset>
            </wp:positionV>
            <wp:extent cx="2529840" cy="3394710"/>
            <wp:effectExtent l="0" t="0" r="3810" b="1524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1022350</wp:posOffset>
            </wp:positionH>
            <wp:positionV relativeFrom="paragraph">
              <wp:posOffset>92710</wp:posOffset>
            </wp:positionV>
            <wp:extent cx="2924810" cy="3418205"/>
            <wp:effectExtent l="0" t="0" r="8890" b="10795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【图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 xml:space="preserve">】                   【图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】</w:t>
      </w:r>
    </w:p>
    <w:p>
      <w:pPr>
        <w:pStyle w:val="3"/>
        <w:keepNext w:val="0"/>
        <w:keepLines w:val="0"/>
        <w:ind w:firstLine="643" w:firstLineChars="200"/>
        <w:rPr>
          <w:rFonts w:hint="eastAsia" w:ascii="仿宋" w:hAnsi="仿宋" w:eastAsia="仿宋" w:cs="仿宋"/>
          <w:sz w:val="32"/>
          <w:szCs w:val="32"/>
        </w:rPr>
      </w:pPr>
      <w:bookmarkStart w:id="19" w:name="_Toc17128221"/>
      <w:r>
        <w:rPr>
          <w:rFonts w:hint="eastAsia" w:ascii="仿宋" w:hAnsi="仿宋" w:eastAsia="仿宋" w:cs="仿宋"/>
          <w:sz w:val="32"/>
          <w:szCs w:val="32"/>
        </w:rPr>
        <w:t>3.2 Internet 选项设置</w:t>
      </w:r>
      <w:bookmarkEnd w:id="19"/>
    </w:p>
    <w:p>
      <w:pPr>
        <w:pStyle w:val="4"/>
        <w:keepNext w:val="0"/>
        <w:keepLines w:val="0"/>
        <w:ind w:firstLine="643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3.3.1安全站点设置</w:t>
      </w:r>
    </w:p>
    <w:p>
      <w:pPr>
        <w:autoSpaceDE w:val="0"/>
        <w:autoSpaceDN w:val="0"/>
        <w:adjustRightInd w:val="0"/>
        <w:spacing w:before="156" w:beforeLines="50" w:after="156" w:afterLines="50" w:line="360" w:lineRule="auto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打开 IE 浏览器进入交易系统，在浏览器“工具（T）” 下点击 “Internet 选项（O）”</w:t>
      </w:r>
    </w:p>
    <w:p>
      <w:pPr>
        <w:autoSpaceDE w:val="0"/>
        <w:autoSpaceDN w:val="0"/>
        <w:adjustRightInd w:val="0"/>
        <w:spacing w:before="156" w:beforeLines="50" w:after="156" w:afterLines="50" w:line="360" w:lineRule="auto"/>
        <w:ind w:firstLine="640" w:firstLineChars="200"/>
        <w:jc w:val="left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在弹出的“Internet 选项”弹框页面，进入“安全”页签，选择“受信任的站点”，点击“站点”按钮，</w:t>
      </w:r>
    </w:p>
    <w:p>
      <w:pPr>
        <w:autoSpaceDE w:val="0"/>
        <w:autoSpaceDN w:val="0"/>
        <w:adjustRightInd w:val="0"/>
        <w:spacing w:before="156" w:beforeLines="50" w:after="156" w:afterLines="50" w:line="360" w:lineRule="auto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在弹出的“受信任的站点”页面点击“添加”按钮，将交易系统地址添加进可信任区（【图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bCs/>
          <w:sz w:val="32"/>
          <w:szCs w:val="32"/>
        </w:rPr>
        <w:t>】所示）。</w:t>
      </w:r>
    </w:p>
    <w:p>
      <w:pPr>
        <w:pStyle w:val="5"/>
        <w:ind w:left="480" w:hanging="48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88280" cy="3093720"/>
            <wp:effectExtent l="0" t="0" r="762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1410" cy="310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76" w:lineRule="exact"/>
        <w:ind w:left="229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【图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】</w:t>
      </w:r>
    </w:p>
    <w:p>
      <w:pPr>
        <w:pStyle w:val="4"/>
        <w:keepNext w:val="0"/>
        <w:keepLines w:val="0"/>
        <w:ind w:firstLine="643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3.3.2 ActiveX 访问权限设置</w:t>
      </w:r>
    </w:p>
    <w:p>
      <w:pPr>
        <w:autoSpaceDE w:val="0"/>
        <w:autoSpaceDN w:val="0"/>
        <w:adjustRightInd w:val="0"/>
        <w:spacing w:before="156" w:beforeLines="50" w:after="156" w:afterLines="50" w:line="360" w:lineRule="auto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 xml:space="preserve">在弹出的“Internet 选项”弹框页面，进入“安全”页签，选择“受信任的站点”，点击“自定义级别（C）...”按钮，在弹出的“安全设置-受信任的站点区域”页面，将“ActiveX 控件和插件”项下的所有子项勾选“启用”（【图 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bCs/>
          <w:sz w:val="32"/>
          <w:szCs w:val="32"/>
        </w:rPr>
        <w:t>】所示）。</w:t>
      </w:r>
    </w:p>
    <w:p>
      <w:pPr>
        <w:pStyle w:val="5"/>
        <w:ind w:left="480" w:hanging="48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88280" cy="300990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【图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</w:rPr>
        <w:t>】</w:t>
      </w:r>
      <w:bookmarkStart w:id="20" w:name="_TOC_250005"/>
      <w:bookmarkEnd w:id="20"/>
    </w:p>
    <w:bookmarkEnd w:id="14"/>
    <w:bookmarkEnd w:id="15"/>
    <w:bookmarkEnd w:id="16"/>
    <w:p>
      <w:pPr>
        <w:pStyle w:val="4"/>
        <w:keepNext w:val="0"/>
        <w:keepLines w:val="0"/>
        <w:ind w:firstLine="643" w:firstLineChars="200"/>
        <w:rPr>
          <w:rFonts w:hint="eastAsia" w:ascii="仿宋" w:hAnsi="仿宋" w:eastAsia="仿宋" w:cs="仿宋"/>
          <w:sz w:val="32"/>
          <w:szCs w:val="32"/>
        </w:rPr>
      </w:pPr>
      <w:bookmarkStart w:id="21" w:name="_Toc446056058"/>
      <w:bookmarkStart w:id="22" w:name="_Toc446593002"/>
      <w:bookmarkStart w:id="23" w:name="_Toc445209240"/>
      <w:r>
        <w:rPr>
          <w:rFonts w:hint="eastAsia" w:ascii="仿宋" w:hAnsi="仿宋" w:eastAsia="仿宋" w:cs="仿宋"/>
          <w:sz w:val="32"/>
          <w:szCs w:val="32"/>
        </w:rPr>
        <w:t>3.3.3高级设置</w:t>
      </w:r>
      <w:bookmarkEnd w:id="21"/>
      <w:bookmarkEnd w:id="22"/>
      <w:bookmarkEnd w:id="23"/>
    </w:p>
    <w:p>
      <w:pPr>
        <w:autoSpaceDE w:val="0"/>
        <w:autoSpaceDN w:val="0"/>
        <w:adjustRightInd w:val="0"/>
        <w:spacing w:before="156" w:beforeLines="50" w:after="156" w:afterLines="50" w:line="360" w:lineRule="auto"/>
        <w:ind w:firstLine="320" w:firstLineChars="100"/>
        <w:jc w:val="left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在Intenet选项框界面中，选择“安全—高级”选项框，在设置中，勾选单选框“</w:t>
      </w:r>
      <w:r>
        <w:rPr>
          <w:rFonts w:hint="eastAsia" w:ascii="仿宋" w:hAnsi="仿宋" w:eastAsia="仿宋" w:cs="仿宋"/>
          <w:bCs/>
          <w:sz w:val="32"/>
          <w:szCs w:val="32"/>
        </w:rPr>
        <w:drawing>
          <wp:inline distT="0" distB="0" distL="0" distR="0">
            <wp:extent cx="2156460" cy="190500"/>
            <wp:effectExtent l="0" t="0" r="152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Cs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bCs/>
          <w:sz w:val="32"/>
          <w:szCs w:val="32"/>
        </w:rPr>
        <w:t>，如下图所示：</w:t>
      </w:r>
    </w:p>
    <w:p>
      <w:pPr>
        <w:autoSpaceDE w:val="0"/>
        <w:autoSpaceDN w:val="0"/>
        <w:adjustRightInd w:val="0"/>
        <w:spacing w:line="300" w:lineRule="auto"/>
        <w:ind w:firstLine="640" w:firstLineChars="20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3985260" cy="3284220"/>
            <wp:effectExtent l="0" t="0" r="1524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ind w:firstLine="643" w:firstLineChars="200"/>
        <w:jc w:val="both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（二）代理机构开标操作流程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到达项目开标时间后，代理可在系统中点击开标。显示投标人文件响应状态为“未解密”等待投标人对其加密文件进行解密。解密完成，展示相关信息无异议后点击开标结束。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4310" cy="239839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drawing>
          <wp:inline distT="0" distB="0" distL="0" distR="0">
            <wp:extent cx="5276850" cy="2794635"/>
            <wp:effectExtent l="0" t="0" r="0" b="5715"/>
            <wp:docPr id="3" name="图片 3" descr="C:\Users\Administrator\AppData\Roaming\Tencent\Users\757553123\TIM\WinTemp\RichOle\2AYB3{1%ULC~ACEUG]G~0G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AppData\Roaming\Tencent\Users\757553123\TIM\WinTemp\RichOle\2AYB3{1%ULC~ACEUG]G~0GV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337" cy="279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4310" cy="231521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568950" cy="2482850"/>
            <wp:effectExtent l="0" t="0" r="1270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7268" cy="24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ind w:firstLine="643" w:firstLineChars="200"/>
        <w:jc w:val="both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（三）投标人开标操作流程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</w:t>
      </w:r>
      <w:r>
        <w:rPr>
          <w:rFonts w:hint="eastAsia" w:ascii="仿宋" w:hAnsi="仿宋" w:eastAsia="仿宋" w:cs="仿宋"/>
          <w:sz w:val="32"/>
          <w:szCs w:val="32"/>
        </w:rPr>
        <w:t>使用CA登录平顶山交易中心电子招投标系统，点击项目，参与投标。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</w:t>
      </w:r>
      <w:r>
        <w:rPr>
          <w:rFonts w:hint="eastAsia" w:ascii="仿宋" w:hAnsi="仿宋" w:eastAsia="仿宋" w:cs="仿宋"/>
          <w:sz w:val="32"/>
          <w:szCs w:val="32"/>
        </w:rPr>
        <w:t>点击文件下载及网上投标、进入开标大厅、项目开标时间到达且代理机构开标后，点击解密。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z w:val="32"/>
          <w:szCs w:val="32"/>
        </w:rPr>
        <w:t>投标人解密完成后，通过开标一览表查看展示信息。</w:t>
      </w:r>
    </w:p>
    <w:p>
      <w:pPr>
        <w:spacing w:line="360" w:lineRule="auto"/>
        <w:ind w:firstLine="420"/>
        <w:rPr>
          <w:rFonts w:hint="eastAsia" w:ascii="仿宋" w:hAnsi="仿宋" w:eastAsia="仿宋" w:cs="仿宋"/>
          <w:spacing w:val="4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4310" cy="245110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仿宋" w:hAnsi="仿宋" w:eastAsia="仿宋" w:cs="仿宋"/>
          <w:spacing w:val="4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4310" cy="252539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仿宋" w:hAnsi="仿宋" w:eastAsia="仿宋" w:cs="仿宋"/>
          <w:spacing w:val="4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4310" cy="241808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tabs>
          <w:tab w:val="center" w:pos="3316"/>
        </w:tabs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shd w:val="clear" w:fill="FFFFFF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BEC70CF-0E62-494F-9315-2B96525FE5A0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2" w:fontKey="{7D9A0CB1-EF9B-4C0B-8262-AB5EE4C2D0DF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E6F2F905-EF0A-4929-A744-C8560AEE1C9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AFD44165-497A-433D-AC42-A38AC67128F4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AE9FBE1A-9B04-461C-972B-51A927ED88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5LOmo8ICAADWBQAADgAAAAAA&#10;AAABACAAAAAfAQAAZHJzL2Uyb0RvYy54bWxQSwUGAAAAAAYABgBZAQAAUw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2E1046"/>
    <w:rsid w:val="572E1046"/>
    <w:rsid w:val="73CF0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3">
    <w:name w:val="heading 3"/>
    <w:basedOn w:val="1"/>
    <w:next w:val="1"/>
    <w:link w:val="10"/>
    <w:qFormat/>
    <w:uiPriority w:val="0"/>
    <w:pPr>
      <w:keepNext/>
      <w:keepLines/>
      <w:spacing w:before="120" w:after="120" w:line="360" w:lineRule="auto"/>
      <w:outlineLvl w:val="2"/>
    </w:pPr>
    <w:rPr>
      <w:b/>
      <w:bCs/>
      <w:sz w:val="28"/>
      <w:szCs w:val="18"/>
    </w:rPr>
  </w:style>
  <w:style w:type="paragraph" w:styleId="4">
    <w:name w:val="heading 4"/>
    <w:basedOn w:val="1"/>
    <w:next w:val="1"/>
    <w:qFormat/>
    <w:uiPriority w:val="0"/>
    <w:pPr>
      <w:keepNext/>
      <w:keepLines/>
      <w:spacing w:before="120" w:after="120" w:line="360" w:lineRule="auto"/>
      <w:outlineLvl w:val="3"/>
    </w:pPr>
    <w:rPr>
      <w:b/>
      <w:bCs/>
      <w:sz w:val="24"/>
      <w:szCs w:val="28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unhideWhenUsed/>
    <w:qFormat/>
    <w:uiPriority w:val="99"/>
    <w:pPr>
      <w:spacing w:after="120"/>
    </w:p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10">
    <w:name w:val="标题 3 Char"/>
    <w:basedOn w:val="9"/>
    <w:link w:val="3"/>
    <w:qFormat/>
    <w:uiPriority w:val="0"/>
    <w:rPr>
      <w:b/>
      <w:bCs/>
      <w:sz w:val="2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2020-02-28T08:42:00Z</dcterms:created>
  <dc:creator>家隆</dc:creator>
  <cp:lastModifiedBy>家隆</cp:lastModifiedBy>
  <dcterms:modified xsi:type="dcterms:W3CDTF">2020-02-28T08:43:21Z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